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2487" w14:textId="6FB69B73" w:rsidR="00A4778B" w:rsidRPr="00062CA9" w:rsidRDefault="00BC4625" w:rsidP="000575C3">
      <w:pPr>
        <w:pStyle w:val="SupenEncabezado"/>
        <w:spacing w:line="240" w:lineRule="auto"/>
        <w:contextualSpacing/>
        <w:rPr>
          <w:rStyle w:val="SupenEncabezadoCar"/>
          <w:rFonts w:cs="Times New Roman"/>
          <w:b/>
          <w:bCs/>
          <w:szCs w:val="24"/>
        </w:rPr>
      </w:pPr>
      <w:sdt>
        <w:sdtPr>
          <w:rPr>
            <w:rStyle w:val="SupenEncabezadoCar"/>
            <w:rFonts w:cs="Times New Roman"/>
            <w:b/>
            <w:bCs/>
            <w:szCs w:val="24"/>
          </w:rPr>
          <w:alias w:val="Código"/>
          <w:tag w:val="A"/>
          <w:id w:val="1991359848"/>
          <w:lock w:val="sdtLocked"/>
          <w:placeholder>
            <w:docPart w:val="5133B443C32D4BBA84994ED17141131F"/>
          </w:placeholder>
          <w:text/>
        </w:sdtPr>
        <w:sdtEndPr>
          <w:rPr>
            <w:rStyle w:val="SupenEncabezadoCar"/>
          </w:rPr>
        </w:sdtEndPr>
        <w:sdtContent>
          <w:r w:rsidR="00062CA9" w:rsidRPr="00062CA9">
            <w:rPr>
              <w:rStyle w:val="SupenEncabezadoCar"/>
              <w:rFonts w:cs="Times New Roman"/>
              <w:b/>
              <w:bCs/>
              <w:szCs w:val="24"/>
            </w:rPr>
            <w:t>SP-A-</w:t>
          </w:r>
          <w:r w:rsidR="008B536A">
            <w:rPr>
              <w:rStyle w:val="SupenEncabezadoCar"/>
              <w:rFonts w:cs="Times New Roman"/>
              <w:b/>
              <w:bCs/>
              <w:szCs w:val="24"/>
            </w:rPr>
            <w:t>257</w:t>
          </w:r>
          <w:r w:rsidR="00062CA9" w:rsidRPr="00062CA9">
            <w:rPr>
              <w:rStyle w:val="SupenEncabezadoCar"/>
              <w:rFonts w:cs="Times New Roman"/>
              <w:b/>
              <w:bCs/>
              <w:szCs w:val="24"/>
            </w:rPr>
            <w:t>-2022</w:t>
          </w:r>
        </w:sdtContent>
      </w:sdt>
    </w:p>
    <w:p w14:paraId="0621091E" w14:textId="68011AA4" w:rsidR="003262D5" w:rsidRPr="00E312ED" w:rsidRDefault="0088130A" w:rsidP="000575C3">
      <w:pPr>
        <w:spacing w:line="240" w:lineRule="auto"/>
        <w:contextualSpacing/>
        <w:jc w:val="center"/>
        <w:rPr>
          <w:rFonts w:cs="Times New Roman"/>
          <w:szCs w:val="24"/>
        </w:rPr>
      </w:pPr>
      <w:r>
        <w:rPr>
          <w:rFonts w:cs="Times New Roman"/>
          <w:szCs w:val="24"/>
        </w:rPr>
        <w:t xml:space="preserve"> </w:t>
      </w:r>
    </w:p>
    <w:p w14:paraId="3C676E9C" w14:textId="6DDCF99A" w:rsidR="00A120AD" w:rsidRPr="00E312ED" w:rsidRDefault="007A6401" w:rsidP="000575C3">
      <w:pPr>
        <w:pStyle w:val="Prrafodelista"/>
        <w:spacing w:line="240" w:lineRule="auto"/>
        <w:jc w:val="center"/>
        <w:rPr>
          <w:rFonts w:cs="Times New Roman"/>
          <w:b/>
          <w:bCs/>
          <w:szCs w:val="24"/>
        </w:rPr>
      </w:pPr>
      <w:r w:rsidRPr="007A6401">
        <w:rPr>
          <w:rFonts w:cs="Times New Roman"/>
          <w:b/>
          <w:bCs/>
          <w:szCs w:val="24"/>
        </w:rPr>
        <w:t>SE REFORM</w:t>
      </w:r>
      <w:r w:rsidR="002C0B2E">
        <w:rPr>
          <w:rFonts w:cs="Times New Roman"/>
          <w:b/>
          <w:bCs/>
          <w:szCs w:val="24"/>
        </w:rPr>
        <w:t xml:space="preserve">A EL </w:t>
      </w:r>
      <w:r w:rsidRPr="007A6401">
        <w:rPr>
          <w:rFonts w:cs="Times New Roman"/>
          <w:b/>
          <w:bCs/>
          <w:szCs w:val="24"/>
        </w:rPr>
        <w:t xml:space="preserve">ARTÍCULO </w:t>
      </w:r>
      <w:r w:rsidR="00CB739A">
        <w:rPr>
          <w:rFonts w:cs="Times New Roman"/>
          <w:b/>
          <w:bCs/>
          <w:szCs w:val="24"/>
        </w:rPr>
        <w:t>1</w:t>
      </w:r>
      <w:r w:rsidR="001E3490">
        <w:rPr>
          <w:rFonts w:cs="Times New Roman"/>
          <w:b/>
          <w:bCs/>
          <w:szCs w:val="24"/>
        </w:rPr>
        <w:t xml:space="preserve"> </w:t>
      </w:r>
      <w:r w:rsidRPr="007A6401">
        <w:rPr>
          <w:rFonts w:cs="Times New Roman"/>
          <w:b/>
          <w:bCs/>
          <w:szCs w:val="24"/>
        </w:rPr>
        <w:t xml:space="preserve">DEL </w:t>
      </w:r>
      <w:r w:rsidRPr="00E312ED">
        <w:rPr>
          <w:rFonts w:cs="Times New Roman"/>
          <w:b/>
          <w:bCs/>
          <w:szCs w:val="24"/>
        </w:rPr>
        <w:t>ACUERDO SP-A-141-2010, DE LAS ONCE HORAS DEL TREINTA DE ABRIL DE 2010</w:t>
      </w:r>
      <w:r w:rsidR="00055CAA">
        <w:rPr>
          <w:rFonts w:cs="Times New Roman"/>
          <w:b/>
          <w:bCs/>
          <w:szCs w:val="24"/>
        </w:rPr>
        <w:t xml:space="preserve"> </w:t>
      </w:r>
      <w:r w:rsidR="00A76156">
        <w:rPr>
          <w:rFonts w:cs="Times New Roman"/>
          <w:b/>
          <w:bCs/>
          <w:szCs w:val="24"/>
        </w:rPr>
        <w:t xml:space="preserve"> </w:t>
      </w:r>
    </w:p>
    <w:p w14:paraId="3CFF265D" w14:textId="2FA23A0A" w:rsidR="002E3245" w:rsidRDefault="00D14C9B" w:rsidP="000575C3">
      <w:pPr>
        <w:spacing w:line="240" w:lineRule="auto"/>
        <w:contextualSpacing/>
        <w:jc w:val="both"/>
        <w:rPr>
          <w:rFonts w:cs="Times New Roman"/>
          <w:szCs w:val="24"/>
        </w:rPr>
      </w:pPr>
      <w:r>
        <w:rPr>
          <w:rFonts w:cs="Times New Roman"/>
          <w:szCs w:val="24"/>
        </w:rPr>
        <w:t xml:space="preserve"> </w:t>
      </w:r>
      <w:r w:rsidR="00652C44">
        <w:rPr>
          <w:rFonts w:cs="Times New Roman"/>
          <w:szCs w:val="24"/>
        </w:rPr>
        <w:t xml:space="preserve">  </w:t>
      </w:r>
      <w:r w:rsidR="00A267B9">
        <w:rPr>
          <w:rFonts w:cs="Times New Roman"/>
          <w:szCs w:val="24"/>
        </w:rPr>
        <w:t xml:space="preserve"> </w:t>
      </w:r>
      <w:r w:rsidR="00F30EC8">
        <w:rPr>
          <w:rFonts w:cs="Times New Roman"/>
          <w:szCs w:val="24"/>
        </w:rPr>
        <w:t xml:space="preserve"> </w:t>
      </w:r>
      <w:r w:rsidR="00CE223D">
        <w:rPr>
          <w:rFonts w:cs="Times New Roman"/>
          <w:szCs w:val="24"/>
        </w:rPr>
        <w:t xml:space="preserve"> </w:t>
      </w:r>
    </w:p>
    <w:p w14:paraId="30A4C20B" w14:textId="17C7C2A9" w:rsidR="00291B81" w:rsidRPr="00A9750B" w:rsidRDefault="00291B81" w:rsidP="000575C3">
      <w:pPr>
        <w:spacing w:line="240" w:lineRule="auto"/>
        <w:contextualSpacing/>
        <w:jc w:val="both"/>
        <w:rPr>
          <w:rFonts w:cs="Times New Roman"/>
          <w:szCs w:val="24"/>
        </w:rPr>
      </w:pPr>
      <w:r w:rsidRPr="00A9750B">
        <w:rPr>
          <w:rFonts w:cs="Times New Roman"/>
          <w:szCs w:val="24"/>
        </w:rPr>
        <w:t xml:space="preserve">Superintendencia de Pensiones, al ser </w:t>
      </w:r>
      <w:r w:rsidRPr="00AF63A4">
        <w:rPr>
          <w:rFonts w:cs="Times New Roman"/>
          <w:szCs w:val="24"/>
        </w:rPr>
        <w:t xml:space="preserve">las </w:t>
      </w:r>
      <w:r w:rsidR="003515B8" w:rsidRPr="00AF63A4">
        <w:rPr>
          <w:rFonts w:cs="Times New Roman"/>
          <w:szCs w:val="24"/>
        </w:rPr>
        <w:t>quince</w:t>
      </w:r>
      <w:r w:rsidRPr="00AF63A4">
        <w:rPr>
          <w:rFonts w:cs="Times New Roman"/>
          <w:szCs w:val="24"/>
        </w:rPr>
        <w:t xml:space="preserve"> horas del </w:t>
      </w:r>
      <w:r w:rsidRPr="00612CB0">
        <w:rPr>
          <w:rFonts w:cs="Times New Roman"/>
          <w:szCs w:val="24"/>
        </w:rPr>
        <w:t xml:space="preserve">día </w:t>
      </w:r>
      <w:r w:rsidR="00AF63A4" w:rsidRPr="00612CB0">
        <w:rPr>
          <w:rFonts w:cs="Times New Roman"/>
          <w:szCs w:val="24"/>
        </w:rPr>
        <w:t>2</w:t>
      </w:r>
      <w:r w:rsidR="00BB25CC">
        <w:rPr>
          <w:rFonts w:cs="Times New Roman"/>
          <w:szCs w:val="24"/>
        </w:rPr>
        <w:t>7</w:t>
      </w:r>
      <w:r w:rsidRPr="00612CB0">
        <w:rPr>
          <w:rFonts w:cs="Times New Roman"/>
          <w:szCs w:val="24"/>
        </w:rPr>
        <w:t xml:space="preserve"> de </w:t>
      </w:r>
      <w:r w:rsidR="009B42FC" w:rsidRPr="00612CB0">
        <w:rPr>
          <w:rFonts w:cs="Times New Roman"/>
          <w:szCs w:val="24"/>
        </w:rPr>
        <w:t>oc</w:t>
      </w:r>
      <w:r w:rsidR="009B42FC">
        <w:rPr>
          <w:rFonts w:cs="Times New Roman"/>
          <w:szCs w:val="24"/>
        </w:rPr>
        <w:t>tubre</w:t>
      </w:r>
      <w:r w:rsidRPr="00A9750B">
        <w:rPr>
          <w:rFonts w:cs="Times New Roman"/>
          <w:szCs w:val="24"/>
        </w:rPr>
        <w:t xml:space="preserve"> de 20</w:t>
      </w:r>
      <w:r w:rsidR="009439BD" w:rsidRPr="00A9750B">
        <w:rPr>
          <w:rFonts w:cs="Times New Roman"/>
          <w:szCs w:val="24"/>
        </w:rPr>
        <w:t>2</w:t>
      </w:r>
      <w:r w:rsidR="00EF76C9" w:rsidRPr="00A9750B">
        <w:rPr>
          <w:rFonts w:cs="Times New Roman"/>
          <w:szCs w:val="24"/>
        </w:rPr>
        <w:t>2.</w:t>
      </w:r>
    </w:p>
    <w:p w14:paraId="3BB4E8C1" w14:textId="4A60B606" w:rsidR="003D4A24" w:rsidRPr="00A9750B" w:rsidRDefault="00652C44" w:rsidP="000575C3">
      <w:pPr>
        <w:spacing w:line="240" w:lineRule="auto"/>
        <w:contextualSpacing/>
        <w:jc w:val="both"/>
        <w:rPr>
          <w:rFonts w:cs="Times New Roman"/>
          <w:szCs w:val="24"/>
        </w:rPr>
      </w:pPr>
      <w:r>
        <w:rPr>
          <w:rFonts w:cs="Times New Roman"/>
          <w:szCs w:val="24"/>
        </w:rPr>
        <w:t xml:space="preserve">   </w:t>
      </w:r>
    </w:p>
    <w:p w14:paraId="315364D4" w14:textId="18752458" w:rsidR="00D336F0" w:rsidRPr="00E312ED" w:rsidRDefault="00AA3BE4" w:rsidP="000575C3">
      <w:pPr>
        <w:spacing w:line="240" w:lineRule="auto"/>
        <w:contextualSpacing/>
        <w:jc w:val="center"/>
        <w:rPr>
          <w:rFonts w:eastAsia="Times New Roman" w:cs="Times New Roman"/>
          <w:b/>
          <w:szCs w:val="24"/>
          <w:lang w:val="es-CR" w:eastAsia="es-ES"/>
        </w:rPr>
      </w:pPr>
      <w:r w:rsidRPr="00E312ED">
        <w:rPr>
          <w:rFonts w:eastAsia="Times New Roman" w:cs="Times New Roman"/>
          <w:b/>
          <w:szCs w:val="24"/>
          <w:lang w:val="es-CR" w:eastAsia="es-ES"/>
        </w:rPr>
        <w:t>CONSIDERANDO:</w:t>
      </w:r>
    </w:p>
    <w:p w14:paraId="674FDE8C" w14:textId="1831B813" w:rsidR="00D336F0" w:rsidRPr="00E312ED" w:rsidRDefault="00480644" w:rsidP="000575C3">
      <w:pPr>
        <w:spacing w:line="240" w:lineRule="auto"/>
        <w:contextualSpacing/>
        <w:jc w:val="both"/>
        <w:rPr>
          <w:rFonts w:eastAsia="Times New Roman" w:cs="Times New Roman"/>
          <w:b/>
          <w:szCs w:val="24"/>
          <w:lang w:val="es-CR" w:eastAsia="es-ES"/>
        </w:rPr>
      </w:pPr>
      <w:r>
        <w:rPr>
          <w:rFonts w:eastAsia="Times New Roman" w:cs="Times New Roman"/>
          <w:b/>
          <w:szCs w:val="24"/>
          <w:lang w:val="es-CR" w:eastAsia="es-ES"/>
        </w:rPr>
        <w:t xml:space="preserve"> </w:t>
      </w:r>
    </w:p>
    <w:p w14:paraId="7E199046" w14:textId="1B3D46E4" w:rsidR="00AC6495" w:rsidRPr="00E312ED" w:rsidRDefault="00E3145F" w:rsidP="000575C3">
      <w:pPr>
        <w:pStyle w:val="Prrafodelista"/>
        <w:numPr>
          <w:ilvl w:val="0"/>
          <w:numId w:val="10"/>
        </w:numPr>
        <w:spacing w:line="240" w:lineRule="auto"/>
        <w:jc w:val="both"/>
        <w:rPr>
          <w:rFonts w:eastAsia="Times New Roman" w:cs="Times New Roman"/>
          <w:szCs w:val="24"/>
          <w:lang w:eastAsia="es-ES"/>
        </w:rPr>
      </w:pPr>
      <w:r w:rsidRPr="00E312ED">
        <w:rPr>
          <w:rFonts w:eastAsia="Times New Roman" w:cs="Times New Roman"/>
          <w:szCs w:val="24"/>
          <w:lang w:eastAsia="es-ES"/>
        </w:rPr>
        <w:t xml:space="preserve">El artículo 38, inciso a) de la </w:t>
      </w:r>
      <w:r w:rsidR="009439BD" w:rsidRPr="00E312ED">
        <w:rPr>
          <w:rFonts w:eastAsia="Times New Roman" w:cs="Times New Roman"/>
          <w:szCs w:val="24"/>
          <w:lang w:eastAsia="es-ES"/>
        </w:rPr>
        <w:t>l</w:t>
      </w:r>
      <w:r w:rsidRPr="00E312ED">
        <w:rPr>
          <w:rFonts w:eastAsia="Times New Roman" w:cs="Times New Roman"/>
          <w:szCs w:val="24"/>
          <w:lang w:eastAsia="es-ES"/>
        </w:rPr>
        <w:t xml:space="preserve">ey N°7523, </w:t>
      </w:r>
      <w:r w:rsidRPr="00E312ED">
        <w:rPr>
          <w:rFonts w:eastAsia="Times New Roman" w:cs="Times New Roman"/>
          <w:i/>
          <w:iCs/>
          <w:szCs w:val="24"/>
          <w:lang w:eastAsia="es-ES"/>
        </w:rPr>
        <w:t>Régimen Privado de Pensiones Complementarias</w:t>
      </w:r>
      <w:r w:rsidRPr="00E312ED">
        <w:rPr>
          <w:rFonts w:eastAsia="Times New Roman" w:cs="Times New Roman"/>
          <w:szCs w:val="24"/>
          <w:lang w:eastAsia="es-ES"/>
        </w:rPr>
        <w:t>, establece, como una atribución del Superintendente de Pensiones, proponer al Consejo Nacional de Supervisión del Sistema Financiero los reglamentos necesarios para ejercer y llevar a cabo las competencias y funciones de la Superintendencia a su cargo.</w:t>
      </w:r>
    </w:p>
    <w:p w14:paraId="35C0D174" w14:textId="77777777" w:rsidR="00AC6495" w:rsidRPr="00E312ED" w:rsidRDefault="00AC6495" w:rsidP="000575C3">
      <w:pPr>
        <w:pStyle w:val="Prrafodelista"/>
        <w:spacing w:line="240" w:lineRule="auto"/>
        <w:jc w:val="both"/>
        <w:rPr>
          <w:rFonts w:eastAsia="Times New Roman" w:cs="Times New Roman"/>
          <w:szCs w:val="24"/>
          <w:lang w:eastAsia="es-ES"/>
        </w:rPr>
      </w:pPr>
    </w:p>
    <w:p w14:paraId="41302B14" w14:textId="1A67D596" w:rsidR="00E3145F" w:rsidRPr="00E312ED" w:rsidRDefault="00E3145F" w:rsidP="000575C3">
      <w:pPr>
        <w:pStyle w:val="Prrafodelista"/>
        <w:spacing w:line="240" w:lineRule="auto"/>
        <w:jc w:val="both"/>
        <w:rPr>
          <w:rFonts w:eastAsia="Times New Roman" w:cs="Times New Roman"/>
          <w:szCs w:val="24"/>
          <w:lang w:eastAsia="es-ES"/>
        </w:rPr>
      </w:pPr>
      <w:r w:rsidRPr="00E312ED">
        <w:rPr>
          <w:rFonts w:eastAsia="Times New Roman" w:cs="Times New Roman"/>
          <w:szCs w:val="24"/>
          <w:lang w:eastAsia="es-ES"/>
        </w:rPr>
        <w:t xml:space="preserve">Colateralmente, el artículo 171, inciso b), de la Ley N°7732, </w:t>
      </w:r>
      <w:r w:rsidRPr="00E312ED">
        <w:rPr>
          <w:rFonts w:eastAsia="Times New Roman" w:cs="Times New Roman"/>
          <w:i/>
          <w:iCs/>
          <w:szCs w:val="24"/>
          <w:lang w:eastAsia="es-ES"/>
        </w:rPr>
        <w:t>Ley Reguladora del Mercado de Valores</w:t>
      </w:r>
      <w:r w:rsidRPr="00E312ED">
        <w:rPr>
          <w:rFonts w:eastAsia="Times New Roman" w:cs="Times New Roman"/>
          <w:szCs w:val="24"/>
          <w:lang w:eastAsia="es-ES"/>
        </w:rPr>
        <w:t>, señala, como una competencia del Consejo Nacional de Supervisión del Sistema Financiero, aprobar las normas atinentes a la autorización, regulación, supervisión, fiscalización y vigilancia que, conforme a la ley, debe ejecutar, en lo que interesa, la Superintendencia de Pensiones.</w:t>
      </w:r>
    </w:p>
    <w:p w14:paraId="6FF1733B" w14:textId="77777777" w:rsidR="00AC6495" w:rsidRPr="00E312ED" w:rsidRDefault="00AC6495" w:rsidP="000575C3">
      <w:pPr>
        <w:spacing w:line="240" w:lineRule="auto"/>
        <w:contextualSpacing/>
        <w:jc w:val="both"/>
        <w:rPr>
          <w:rFonts w:eastAsia="Times New Roman" w:cs="Times New Roman"/>
          <w:szCs w:val="24"/>
          <w:lang w:eastAsia="es-ES"/>
        </w:rPr>
      </w:pPr>
    </w:p>
    <w:p w14:paraId="1CDE9DE4" w14:textId="1E5610C9" w:rsidR="00F104A1" w:rsidRPr="00E312ED" w:rsidRDefault="00F104A1" w:rsidP="000575C3">
      <w:pPr>
        <w:pStyle w:val="Prrafodelista"/>
        <w:numPr>
          <w:ilvl w:val="0"/>
          <w:numId w:val="10"/>
        </w:numPr>
        <w:spacing w:line="240" w:lineRule="auto"/>
        <w:jc w:val="both"/>
        <w:rPr>
          <w:rFonts w:eastAsia="Times New Roman" w:cs="Times New Roman"/>
          <w:szCs w:val="24"/>
          <w:lang w:eastAsia="es-ES"/>
        </w:rPr>
      </w:pPr>
      <w:r w:rsidRPr="00E312ED">
        <w:rPr>
          <w:rFonts w:cs="Times New Roman"/>
          <w:szCs w:val="24"/>
        </w:rPr>
        <w:t xml:space="preserve">De conformidad con el inciso f) del artículo 38 de la </w:t>
      </w:r>
      <w:r w:rsidR="00CB4DCE" w:rsidRPr="00E312ED">
        <w:rPr>
          <w:rFonts w:cs="Times New Roman"/>
          <w:szCs w:val="24"/>
        </w:rPr>
        <w:t>l</w:t>
      </w:r>
      <w:r w:rsidRPr="00E312ED">
        <w:rPr>
          <w:rFonts w:cs="Times New Roman"/>
          <w:szCs w:val="24"/>
        </w:rPr>
        <w:t xml:space="preserve">ey N° 7523, </w:t>
      </w:r>
      <w:r w:rsidRPr="00E312ED">
        <w:rPr>
          <w:rFonts w:cs="Times New Roman"/>
          <w:i/>
          <w:iCs/>
          <w:szCs w:val="24"/>
        </w:rPr>
        <w:t>Régimen Privado de Pensiones Complementarias</w:t>
      </w:r>
      <w:r w:rsidRPr="00E312ED">
        <w:rPr>
          <w:rFonts w:cs="Times New Roman"/>
          <w:szCs w:val="24"/>
        </w:rPr>
        <w:t>,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w:t>
      </w:r>
      <w:r w:rsidR="004F4DDE">
        <w:rPr>
          <w:rFonts w:cs="Times New Roman"/>
          <w:szCs w:val="24"/>
        </w:rPr>
        <w:t>.</w:t>
      </w:r>
    </w:p>
    <w:p w14:paraId="235BE642" w14:textId="77777777" w:rsidR="00AC6495" w:rsidRPr="00E312ED" w:rsidRDefault="00AC6495" w:rsidP="000575C3">
      <w:pPr>
        <w:pStyle w:val="Prrafodelista"/>
        <w:spacing w:line="240" w:lineRule="auto"/>
        <w:jc w:val="both"/>
        <w:rPr>
          <w:rFonts w:eastAsia="Times New Roman" w:cs="Times New Roman"/>
          <w:szCs w:val="24"/>
          <w:lang w:eastAsia="es-ES"/>
        </w:rPr>
      </w:pPr>
    </w:p>
    <w:p w14:paraId="179D2ED2" w14:textId="390F5964" w:rsidR="00D336F0" w:rsidRPr="00E312ED" w:rsidRDefault="00D336F0" w:rsidP="000575C3">
      <w:pPr>
        <w:pStyle w:val="Prrafodelista"/>
        <w:numPr>
          <w:ilvl w:val="0"/>
          <w:numId w:val="10"/>
        </w:numPr>
        <w:spacing w:line="240" w:lineRule="auto"/>
        <w:jc w:val="both"/>
        <w:rPr>
          <w:rFonts w:eastAsia="Times New Roman" w:cs="Times New Roman"/>
          <w:szCs w:val="24"/>
          <w:lang w:eastAsia="es-ES"/>
        </w:rPr>
      </w:pPr>
      <w:r w:rsidRPr="00E312ED">
        <w:rPr>
          <w:rFonts w:eastAsia="Times New Roman" w:cs="Times New Roman"/>
          <w:szCs w:val="24"/>
          <w:lang w:eastAsia="es-ES"/>
        </w:rPr>
        <w:t xml:space="preserve">El Capítulo III de la </w:t>
      </w:r>
      <w:r w:rsidRPr="00E312ED">
        <w:rPr>
          <w:rFonts w:eastAsia="Times New Roman" w:cs="Times New Roman"/>
          <w:i/>
          <w:iCs/>
          <w:szCs w:val="24"/>
          <w:lang w:eastAsia="es-ES"/>
        </w:rPr>
        <w:t>Ley de Protección al Trabajador</w:t>
      </w:r>
      <w:r w:rsidRPr="00E312ED">
        <w:rPr>
          <w:rFonts w:eastAsia="Times New Roman" w:cs="Times New Roman"/>
          <w:szCs w:val="24"/>
          <w:lang w:eastAsia="es-ES"/>
        </w:rPr>
        <w:t xml:space="preserve"> establece las modalidades de pensión</w:t>
      </w:r>
      <w:r w:rsidR="004F4DDE">
        <w:rPr>
          <w:rFonts w:eastAsia="Times New Roman" w:cs="Times New Roman"/>
          <w:szCs w:val="24"/>
          <w:lang w:eastAsia="es-ES"/>
        </w:rPr>
        <w:t>, así como</w:t>
      </w:r>
      <w:r w:rsidRPr="00E312ED">
        <w:rPr>
          <w:rFonts w:eastAsia="Times New Roman" w:cs="Times New Roman"/>
          <w:szCs w:val="24"/>
          <w:lang w:eastAsia="es-ES"/>
        </w:rPr>
        <w:t xml:space="preserve"> las condiciones para que los afiliados puedan optar por la pensión complementaria.</w:t>
      </w:r>
    </w:p>
    <w:p w14:paraId="0419F4A7" w14:textId="77777777" w:rsidR="00AC6495" w:rsidRPr="00E312ED" w:rsidRDefault="00AC6495" w:rsidP="000575C3">
      <w:pPr>
        <w:pStyle w:val="Prrafodelista"/>
        <w:spacing w:line="240" w:lineRule="auto"/>
        <w:rPr>
          <w:rFonts w:eastAsia="Times New Roman" w:cs="Times New Roman"/>
          <w:szCs w:val="24"/>
          <w:lang w:eastAsia="es-ES"/>
        </w:rPr>
      </w:pPr>
    </w:p>
    <w:p w14:paraId="72CB4D48" w14:textId="0BAAE987" w:rsidR="00D336F0" w:rsidRPr="00E312ED" w:rsidRDefault="00D336F0" w:rsidP="000575C3">
      <w:pPr>
        <w:pStyle w:val="Prrafodelista"/>
        <w:numPr>
          <w:ilvl w:val="0"/>
          <w:numId w:val="10"/>
        </w:numPr>
        <w:spacing w:line="240" w:lineRule="auto"/>
        <w:jc w:val="both"/>
        <w:rPr>
          <w:rFonts w:eastAsia="Times New Roman" w:cs="Times New Roman"/>
          <w:szCs w:val="24"/>
          <w:lang w:eastAsia="es-ES"/>
        </w:rPr>
      </w:pPr>
      <w:r w:rsidRPr="00E312ED">
        <w:rPr>
          <w:rFonts w:eastAsia="Times New Roman" w:cs="Times New Roman"/>
          <w:szCs w:val="24"/>
          <w:lang w:eastAsia="es-ES"/>
        </w:rPr>
        <w:t>El Consejo Nacional de Supervisión del Sistema Financiero</w:t>
      </w:r>
      <w:r w:rsidR="001C7469" w:rsidRPr="00E312ED">
        <w:rPr>
          <w:rFonts w:eastAsia="Times New Roman" w:cs="Times New Roman"/>
          <w:szCs w:val="24"/>
          <w:lang w:eastAsia="es-ES"/>
        </w:rPr>
        <w:t>,</w:t>
      </w:r>
      <w:r w:rsidRPr="00E312ED">
        <w:rPr>
          <w:rFonts w:eastAsia="Times New Roman" w:cs="Times New Roman"/>
          <w:szCs w:val="24"/>
          <w:lang w:eastAsia="es-ES"/>
        </w:rPr>
        <w:t xml:space="preserve"> en </w:t>
      </w:r>
      <w:r w:rsidR="001C7469" w:rsidRPr="00E312ED">
        <w:rPr>
          <w:rFonts w:eastAsia="Times New Roman" w:cs="Times New Roman"/>
          <w:szCs w:val="24"/>
          <w:lang w:eastAsia="es-ES"/>
        </w:rPr>
        <w:t xml:space="preserve">la </w:t>
      </w:r>
      <w:r w:rsidRPr="00E312ED">
        <w:rPr>
          <w:rFonts w:eastAsia="Times New Roman" w:cs="Times New Roman"/>
          <w:szCs w:val="24"/>
          <w:lang w:eastAsia="es-ES"/>
        </w:rPr>
        <w:t>sesión 842-2010 celebrada el 26 de marzo del 2010,</w:t>
      </w:r>
      <w:r w:rsidR="00F104A1" w:rsidRPr="00E312ED">
        <w:rPr>
          <w:rFonts w:cs="Times New Roman"/>
          <w:szCs w:val="24"/>
        </w:rPr>
        <w:t xml:space="preserve"> </w:t>
      </w:r>
      <w:r w:rsidR="00F104A1" w:rsidRPr="00E312ED">
        <w:rPr>
          <w:rFonts w:eastAsia="Times New Roman" w:cs="Times New Roman"/>
          <w:szCs w:val="24"/>
          <w:lang w:eastAsia="es-ES"/>
        </w:rPr>
        <w:t>publicado en el Diario Oficial La Gaceta No. 73 del 16 de abril de ese mismo año,</w:t>
      </w:r>
      <w:r w:rsidRPr="00E312ED">
        <w:rPr>
          <w:rFonts w:eastAsia="Times New Roman" w:cs="Times New Roman"/>
          <w:szCs w:val="24"/>
          <w:lang w:eastAsia="es-ES"/>
        </w:rPr>
        <w:t xml:space="preserve"> aprobó el </w:t>
      </w:r>
      <w:r w:rsidRPr="00E312ED">
        <w:rPr>
          <w:rFonts w:eastAsia="Times New Roman" w:cs="Times New Roman"/>
          <w:i/>
          <w:iCs/>
          <w:szCs w:val="24"/>
          <w:lang w:eastAsia="es-ES"/>
        </w:rPr>
        <w:t>Reglamento de Beneficios del Régimen de Capitalización Individual</w:t>
      </w:r>
      <w:r w:rsidR="008D0EF8" w:rsidRPr="00E312ED">
        <w:rPr>
          <w:rFonts w:eastAsia="Times New Roman" w:cs="Times New Roman"/>
          <w:szCs w:val="24"/>
          <w:lang w:eastAsia="es-ES"/>
        </w:rPr>
        <w:t>.</w:t>
      </w:r>
      <w:r w:rsidR="00DA3EB4">
        <w:rPr>
          <w:rFonts w:eastAsia="Times New Roman" w:cs="Times New Roman"/>
          <w:szCs w:val="24"/>
          <w:lang w:eastAsia="es-ES"/>
        </w:rPr>
        <w:t xml:space="preserve"> </w:t>
      </w:r>
    </w:p>
    <w:p w14:paraId="7C60C035" w14:textId="77777777" w:rsidR="00AC6495" w:rsidRPr="00E312ED" w:rsidRDefault="00AC6495" w:rsidP="000575C3">
      <w:pPr>
        <w:pStyle w:val="Prrafodelista"/>
        <w:spacing w:line="240" w:lineRule="auto"/>
        <w:rPr>
          <w:rFonts w:eastAsia="Times New Roman" w:cs="Times New Roman"/>
          <w:szCs w:val="24"/>
          <w:lang w:eastAsia="es-ES"/>
        </w:rPr>
      </w:pPr>
    </w:p>
    <w:p w14:paraId="5F52DDA4" w14:textId="42D4960A" w:rsidR="00DD51F8" w:rsidRPr="006B4FA7" w:rsidRDefault="001B1273" w:rsidP="00DD51F8">
      <w:pPr>
        <w:pStyle w:val="Prrafodelista"/>
        <w:numPr>
          <w:ilvl w:val="0"/>
          <w:numId w:val="10"/>
        </w:numPr>
        <w:spacing w:line="240" w:lineRule="auto"/>
        <w:jc w:val="both"/>
        <w:rPr>
          <w:rFonts w:eastAsia="Times New Roman" w:cs="Times New Roman"/>
          <w:szCs w:val="24"/>
          <w:lang w:eastAsia="es-ES"/>
        </w:rPr>
      </w:pPr>
      <w:r w:rsidRPr="006B4FA7">
        <w:rPr>
          <w:rFonts w:eastAsia="Times New Roman" w:cs="Times New Roman"/>
          <w:szCs w:val="24"/>
          <w:lang w:eastAsia="es-ES"/>
        </w:rPr>
        <w:t xml:space="preserve">El artículo 22 inciso b) de la </w:t>
      </w:r>
      <w:r w:rsidRPr="006B4FA7">
        <w:rPr>
          <w:rFonts w:eastAsia="Times New Roman" w:cs="Times New Roman"/>
          <w:i/>
          <w:iCs/>
          <w:szCs w:val="24"/>
          <w:lang w:eastAsia="es-ES"/>
        </w:rPr>
        <w:t>Ley de Protección al Trabajador</w:t>
      </w:r>
      <w:r w:rsidR="00965C22" w:rsidRPr="006B4FA7">
        <w:rPr>
          <w:rFonts w:eastAsia="Times New Roman" w:cs="Times New Roman"/>
          <w:szCs w:val="24"/>
          <w:lang w:eastAsia="es-ES"/>
        </w:rPr>
        <w:t xml:space="preserve"> </w:t>
      </w:r>
      <w:r w:rsidRPr="006B4FA7">
        <w:rPr>
          <w:rFonts w:eastAsia="Times New Roman" w:cs="Times New Roman"/>
          <w:szCs w:val="24"/>
          <w:lang w:eastAsia="es-ES"/>
        </w:rPr>
        <w:t xml:space="preserve">y </w:t>
      </w:r>
      <w:r w:rsidR="0055411F" w:rsidRPr="006B4FA7">
        <w:rPr>
          <w:rFonts w:eastAsia="Times New Roman" w:cs="Times New Roman"/>
          <w:szCs w:val="24"/>
          <w:lang w:eastAsia="es-ES"/>
        </w:rPr>
        <w:t xml:space="preserve">el </w:t>
      </w:r>
      <w:r w:rsidR="00016189" w:rsidRPr="006B4FA7">
        <w:rPr>
          <w:rFonts w:eastAsia="Times New Roman" w:cs="Times New Roman"/>
          <w:szCs w:val="24"/>
          <w:lang w:eastAsia="es-ES"/>
        </w:rPr>
        <w:t xml:space="preserve">artículo 5 del </w:t>
      </w:r>
      <w:r w:rsidR="00D84F29" w:rsidRPr="006B4FA7">
        <w:rPr>
          <w:rFonts w:eastAsia="Times New Roman" w:cs="Times New Roman"/>
          <w:i/>
          <w:iCs/>
          <w:szCs w:val="24"/>
          <w:lang w:eastAsia="es-ES"/>
        </w:rPr>
        <w:t>Reglamento de beneficios del régimen de capitalización individual</w:t>
      </w:r>
      <w:r w:rsidR="00D84F29" w:rsidRPr="006B4FA7">
        <w:rPr>
          <w:rFonts w:eastAsia="Times New Roman" w:cs="Times New Roman"/>
          <w:szCs w:val="24"/>
          <w:lang w:eastAsia="es-ES"/>
        </w:rPr>
        <w:t xml:space="preserve"> </w:t>
      </w:r>
      <w:r w:rsidR="00965C22" w:rsidRPr="006B4FA7">
        <w:rPr>
          <w:rFonts w:eastAsia="Times New Roman" w:cs="Times New Roman"/>
          <w:szCs w:val="24"/>
          <w:lang w:eastAsia="es-ES"/>
        </w:rPr>
        <w:t>establece</w:t>
      </w:r>
      <w:r w:rsidR="00A10E9E" w:rsidRPr="006B4FA7">
        <w:rPr>
          <w:rFonts w:eastAsia="Times New Roman" w:cs="Times New Roman"/>
          <w:szCs w:val="24"/>
          <w:lang w:eastAsia="es-ES"/>
        </w:rPr>
        <w:t>n</w:t>
      </w:r>
      <w:r w:rsidR="005431E6" w:rsidRPr="005431E6">
        <w:t xml:space="preserve"> </w:t>
      </w:r>
      <w:r w:rsidR="005431E6" w:rsidRPr="005431E6">
        <w:rPr>
          <w:rFonts w:eastAsia="Times New Roman" w:cs="Times New Roman"/>
          <w:szCs w:val="24"/>
          <w:lang w:eastAsia="es-ES"/>
        </w:rPr>
        <w:t xml:space="preserve">el </w:t>
      </w:r>
      <w:r w:rsidR="005431E6" w:rsidRPr="005431E6">
        <w:rPr>
          <w:rFonts w:eastAsia="Times New Roman" w:cs="Times New Roman"/>
          <w:i/>
          <w:iCs/>
          <w:szCs w:val="24"/>
          <w:lang w:eastAsia="es-ES"/>
        </w:rPr>
        <w:t>Retiro Programado</w:t>
      </w:r>
      <w:r w:rsidR="00A10E9E" w:rsidRPr="006B4FA7">
        <w:rPr>
          <w:rFonts w:eastAsia="Times New Roman" w:cs="Times New Roman"/>
          <w:szCs w:val="24"/>
          <w:lang w:eastAsia="es-ES"/>
        </w:rPr>
        <w:t>,</w:t>
      </w:r>
      <w:r w:rsidR="00965C22" w:rsidRPr="006B4FA7">
        <w:rPr>
          <w:rFonts w:eastAsia="Times New Roman" w:cs="Times New Roman"/>
          <w:szCs w:val="24"/>
          <w:lang w:eastAsia="es-ES"/>
        </w:rPr>
        <w:t xml:space="preserve"> como una de las modalidades de pensión que el afiliado al </w:t>
      </w:r>
      <w:r w:rsidR="00965C22" w:rsidRPr="006B4FA7">
        <w:rPr>
          <w:rFonts w:eastAsia="Times New Roman" w:cs="Times New Roman"/>
          <w:i/>
          <w:iCs/>
          <w:szCs w:val="24"/>
          <w:lang w:eastAsia="es-ES"/>
        </w:rPr>
        <w:t>Régimen Obligatorio de Pensiones Complementarias</w:t>
      </w:r>
      <w:r w:rsidR="006B4FA7">
        <w:rPr>
          <w:rFonts w:eastAsia="Times New Roman" w:cs="Times New Roman"/>
          <w:szCs w:val="24"/>
          <w:lang w:eastAsia="es-ES"/>
        </w:rPr>
        <w:t xml:space="preserve"> </w:t>
      </w:r>
      <w:r w:rsidR="00A10E9E" w:rsidRPr="006B4FA7">
        <w:rPr>
          <w:rFonts w:eastAsia="Times New Roman" w:cs="Times New Roman"/>
          <w:szCs w:val="24"/>
          <w:lang w:eastAsia="es-ES"/>
        </w:rPr>
        <w:t xml:space="preserve">y </w:t>
      </w:r>
      <w:r w:rsidR="00F7788A" w:rsidRPr="006B4FA7">
        <w:rPr>
          <w:rFonts w:eastAsia="Times New Roman" w:cs="Times New Roman"/>
          <w:szCs w:val="24"/>
          <w:lang w:eastAsia="es-ES"/>
        </w:rPr>
        <w:t>a</w:t>
      </w:r>
      <w:r w:rsidRPr="006B4FA7">
        <w:rPr>
          <w:rFonts w:eastAsia="Times New Roman" w:cs="Times New Roman"/>
          <w:szCs w:val="24"/>
          <w:lang w:eastAsia="es-ES"/>
        </w:rPr>
        <w:t xml:space="preserve">l </w:t>
      </w:r>
      <w:r w:rsidRPr="006B4FA7">
        <w:rPr>
          <w:rFonts w:eastAsia="Times New Roman" w:cs="Times New Roman"/>
          <w:i/>
          <w:iCs/>
          <w:szCs w:val="24"/>
          <w:lang w:eastAsia="es-ES"/>
        </w:rPr>
        <w:t>Régimen Voluntario de Pensiones Complementarias</w:t>
      </w:r>
      <w:r w:rsidR="0068006C" w:rsidRPr="006B4FA7">
        <w:rPr>
          <w:rFonts w:eastAsia="Times New Roman" w:cs="Times New Roman"/>
          <w:szCs w:val="24"/>
          <w:lang w:eastAsia="es-ES"/>
        </w:rPr>
        <w:t xml:space="preserve"> pueden optar</w:t>
      </w:r>
      <w:r w:rsidR="00A10E9E" w:rsidRPr="006B4FA7">
        <w:rPr>
          <w:rFonts w:eastAsia="Times New Roman" w:cs="Times New Roman"/>
          <w:szCs w:val="24"/>
          <w:lang w:eastAsia="es-ES"/>
        </w:rPr>
        <w:t>, respectivamente</w:t>
      </w:r>
      <w:r w:rsidR="005431E6">
        <w:rPr>
          <w:rFonts w:eastAsia="Times New Roman" w:cs="Times New Roman"/>
          <w:szCs w:val="24"/>
          <w:lang w:eastAsia="es-ES"/>
        </w:rPr>
        <w:t>, una vez cumplan con los requisitos establecidos</w:t>
      </w:r>
      <w:r w:rsidRPr="006B4FA7">
        <w:rPr>
          <w:rFonts w:eastAsia="Times New Roman" w:cs="Times New Roman"/>
          <w:szCs w:val="24"/>
          <w:lang w:eastAsia="es-ES"/>
        </w:rPr>
        <w:t>. A través de este producto, el pensionado recibe una renta periódica que surge de dividir, cada año, el capital para la pensión entre el valor presente de una unidad de pensión de acuerdo con la tabla de mortalidad vigente.</w:t>
      </w:r>
    </w:p>
    <w:p w14:paraId="078E7265" w14:textId="77777777" w:rsidR="001B1273" w:rsidRPr="006D4DFC" w:rsidRDefault="001B1273" w:rsidP="006D4DFC">
      <w:pPr>
        <w:spacing w:line="240" w:lineRule="auto"/>
        <w:rPr>
          <w:rFonts w:eastAsia="Times New Roman" w:cs="Times New Roman"/>
          <w:szCs w:val="24"/>
          <w:lang w:eastAsia="es-ES"/>
        </w:rPr>
      </w:pPr>
    </w:p>
    <w:p w14:paraId="6913B0C5" w14:textId="23AEA424" w:rsidR="00225939" w:rsidRPr="00E121F9" w:rsidRDefault="00734DB6" w:rsidP="002F1566">
      <w:pPr>
        <w:pStyle w:val="Prrafodelista"/>
        <w:numPr>
          <w:ilvl w:val="0"/>
          <w:numId w:val="10"/>
        </w:numPr>
        <w:spacing w:line="240" w:lineRule="auto"/>
        <w:jc w:val="both"/>
        <w:rPr>
          <w:rFonts w:eastAsia="Times New Roman" w:cs="Times New Roman"/>
          <w:szCs w:val="24"/>
          <w:lang w:eastAsia="es-ES"/>
        </w:rPr>
      </w:pPr>
      <w:r>
        <w:rPr>
          <w:rFonts w:eastAsia="Times New Roman" w:cs="Times New Roman"/>
          <w:szCs w:val="24"/>
          <w:lang w:eastAsia="es-ES"/>
        </w:rPr>
        <w:lastRenderedPageBreak/>
        <w:t>M</w:t>
      </w:r>
      <w:r w:rsidR="00D336F0" w:rsidRPr="00E312ED">
        <w:rPr>
          <w:rFonts w:eastAsia="Times New Roman" w:cs="Times New Roman"/>
          <w:szCs w:val="24"/>
          <w:lang w:eastAsia="es-ES"/>
        </w:rPr>
        <w:t xml:space="preserve">ediante </w:t>
      </w:r>
      <w:r w:rsidR="000F0254" w:rsidRPr="00E312ED">
        <w:rPr>
          <w:rFonts w:eastAsia="Times New Roman" w:cs="Times New Roman"/>
          <w:szCs w:val="24"/>
          <w:lang w:eastAsia="es-ES"/>
        </w:rPr>
        <w:t xml:space="preserve">el </w:t>
      </w:r>
      <w:r w:rsidR="00D336F0" w:rsidRPr="00E312ED">
        <w:rPr>
          <w:rFonts w:eastAsia="Times New Roman" w:cs="Times New Roman"/>
          <w:szCs w:val="24"/>
          <w:lang w:eastAsia="es-ES"/>
        </w:rPr>
        <w:t xml:space="preserve">acuerdo </w:t>
      </w:r>
      <w:r w:rsidR="00D336F0" w:rsidRPr="00E312ED">
        <w:rPr>
          <w:rFonts w:eastAsia="Times New Roman" w:cs="Times New Roman"/>
          <w:i/>
          <w:iCs/>
          <w:szCs w:val="24"/>
          <w:lang w:eastAsia="es-ES"/>
        </w:rPr>
        <w:t>SP-A-141-2010, de las once horas del treinta de abril de 2010,</w:t>
      </w:r>
      <w:r w:rsidR="00D336F0" w:rsidRPr="00E312ED">
        <w:rPr>
          <w:rFonts w:eastAsia="Times New Roman" w:cs="Times New Roman"/>
          <w:szCs w:val="24"/>
          <w:lang w:eastAsia="es-ES"/>
        </w:rPr>
        <w:t xml:space="preserve"> </w:t>
      </w:r>
      <w:r w:rsidR="00782C92">
        <w:rPr>
          <w:rFonts w:eastAsia="Times New Roman" w:cs="Times New Roman"/>
          <w:szCs w:val="24"/>
          <w:lang w:eastAsia="es-ES"/>
        </w:rPr>
        <w:t>la Superintendencia de Pensiones dictó</w:t>
      </w:r>
      <w:r w:rsidR="00D336F0" w:rsidRPr="00E312ED">
        <w:rPr>
          <w:rFonts w:eastAsia="Times New Roman" w:cs="Times New Roman"/>
          <w:szCs w:val="24"/>
          <w:lang w:eastAsia="es-ES"/>
        </w:rPr>
        <w:t xml:space="preserve"> las </w:t>
      </w:r>
      <w:r w:rsidR="00E3145F" w:rsidRPr="00E312ED">
        <w:rPr>
          <w:rFonts w:eastAsia="Times New Roman" w:cs="Times New Roman"/>
          <w:szCs w:val="24"/>
          <w:lang w:eastAsia="es-ES"/>
        </w:rPr>
        <w:t>d</w:t>
      </w:r>
      <w:r w:rsidR="00D336F0" w:rsidRPr="00E312ED">
        <w:rPr>
          <w:rFonts w:eastAsia="Times New Roman" w:cs="Times New Roman"/>
          <w:szCs w:val="24"/>
          <w:lang w:eastAsia="es-ES"/>
        </w:rPr>
        <w:t xml:space="preserve">isposiciones relativas a las modalidades de pensión para el </w:t>
      </w:r>
      <w:r w:rsidR="001D6082">
        <w:rPr>
          <w:rFonts w:eastAsia="Times New Roman" w:cs="Times New Roman"/>
          <w:szCs w:val="24"/>
          <w:lang w:eastAsia="es-ES"/>
        </w:rPr>
        <w:t>r</w:t>
      </w:r>
      <w:r w:rsidR="00D336F0" w:rsidRPr="00E312ED">
        <w:rPr>
          <w:rFonts w:eastAsia="Times New Roman" w:cs="Times New Roman"/>
          <w:szCs w:val="24"/>
          <w:lang w:eastAsia="es-ES"/>
        </w:rPr>
        <w:t xml:space="preserve">égimen </w:t>
      </w:r>
      <w:r w:rsidR="001D6082">
        <w:rPr>
          <w:rFonts w:eastAsia="Times New Roman" w:cs="Times New Roman"/>
          <w:szCs w:val="24"/>
          <w:lang w:eastAsia="es-ES"/>
        </w:rPr>
        <w:t>c</w:t>
      </w:r>
      <w:r w:rsidR="00D336F0" w:rsidRPr="00E312ED">
        <w:rPr>
          <w:rFonts w:eastAsia="Times New Roman" w:cs="Times New Roman"/>
          <w:szCs w:val="24"/>
          <w:lang w:eastAsia="es-ES"/>
        </w:rPr>
        <w:t xml:space="preserve">omplementario de </w:t>
      </w:r>
      <w:r w:rsidR="001D6082">
        <w:rPr>
          <w:rFonts w:eastAsia="Times New Roman" w:cs="Times New Roman"/>
          <w:szCs w:val="24"/>
          <w:lang w:eastAsia="es-ES"/>
        </w:rPr>
        <w:t>p</w:t>
      </w:r>
      <w:r w:rsidR="00D336F0" w:rsidRPr="00E312ED">
        <w:rPr>
          <w:rFonts w:eastAsia="Times New Roman" w:cs="Times New Roman"/>
          <w:szCs w:val="24"/>
          <w:lang w:eastAsia="es-ES"/>
        </w:rPr>
        <w:t xml:space="preserve">ensiones de </w:t>
      </w:r>
      <w:r w:rsidR="001D6082">
        <w:rPr>
          <w:rFonts w:eastAsia="Times New Roman" w:cs="Times New Roman"/>
          <w:szCs w:val="24"/>
          <w:lang w:eastAsia="es-ES"/>
        </w:rPr>
        <w:t>c</w:t>
      </w:r>
      <w:r w:rsidR="00D336F0" w:rsidRPr="00E312ED">
        <w:rPr>
          <w:rFonts w:eastAsia="Times New Roman" w:cs="Times New Roman"/>
          <w:szCs w:val="24"/>
          <w:lang w:eastAsia="es-ES"/>
        </w:rPr>
        <w:t xml:space="preserve">apitalización </w:t>
      </w:r>
      <w:r w:rsidR="001D6082">
        <w:rPr>
          <w:rFonts w:eastAsia="Times New Roman" w:cs="Times New Roman"/>
          <w:szCs w:val="24"/>
          <w:lang w:eastAsia="es-ES"/>
        </w:rPr>
        <w:t>i</w:t>
      </w:r>
      <w:r w:rsidR="00D336F0" w:rsidRPr="00E312ED">
        <w:rPr>
          <w:rFonts w:eastAsia="Times New Roman" w:cs="Times New Roman"/>
          <w:szCs w:val="24"/>
          <w:lang w:eastAsia="es-ES"/>
        </w:rPr>
        <w:t>ndividual</w:t>
      </w:r>
      <w:r w:rsidR="00E3145F" w:rsidRPr="00E312ED">
        <w:rPr>
          <w:rFonts w:eastAsia="Times New Roman" w:cs="Times New Roman"/>
          <w:szCs w:val="24"/>
          <w:lang w:eastAsia="es-ES"/>
        </w:rPr>
        <w:t xml:space="preserve">, a efecto de establecer entre otros, los lineamientos de cálculo de las </w:t>
      </w:r>
      <w:r w:rsidR="009A0F74">
        <w:rPr>
          <w:rFonts w:eastAsia="Times New Roman" w:cs="Times New Roman"/>
          <w:szCs w:val="24"/>
          <w:lang w:eastAsia="es-ES"/>
        </w:rPr>
        <w:t>prestaciones</w:t>
      </w:r>
      <w:r w:rsidR="008D0EF8" w:rsidRPr="00E312ED">
        <w:rPr>
          <w:rFonts w:eastAsia="Times New Roman" w:cs="Times New Roman"/>
          <w:szCs w:val="24"/>
          <w:lang w:eastAsia="es-ES"/>
        </w:rPr>
        <w:t>,</w:t>
      </w:r>
      <w:r w:rsidR="00E3145F" w:rsidRPr="00E312ED">
        <w:rPr>
          <w:rFonts w:eastAsia="Times New Roman" w:cs="Times New Roman"/>
          <w:szCs w:val="24"/>
          <w:lang w:eastAsia="es-ES"/>
        </w:rPr>
        <w:t xml:space="preserve"> a fin de que los pensionados cuenten con tratamientos uniformes </w:t>
      </w:r>
      <w:r w:rsidR="005E2218">
        <w:rPr>
          <w:rFonts w:eastAsia="Times New Roman" w:cs="Times New Roman"/>
          <w:szCs w:val="24"/>
          <w:lang w:eastAsia="es-ES"/>
        </w:rPr>
        <w:t xml:space="preserve">para el cálculo </w:t>
      </w:r>
      <w:r w:rsidR="00E3145F" w:rsidRPr="00E312ED">
        <w:rPr>
          <w:rFonts w:eastAsia="Times New Roman" w:cs="Times New Roman"/>
          <w:szCs w:val="24"/>
          <w:lang w:eastAsia="es-ES"/>
        </w:rPr>
        <w:t>de la</w:t>
      </w:r>
      <w:r w:rsidR="003570BB" w:rsidRPr="00E312ED">
        <w:rPr>
          <w:rFonts w:eastAsia="Times New Roman" w:cs="Times New Roman"/>
          <w:szCs w:val="24"/>
          <w:lang w:eastAsia="es-ES"/>
        </w:rPr>
        <w:t>s</w:t>
      </w:r>
      <w:r w:rsidR="00E3145F" w:rsidRPr="00E312ED">
        <w:rPr>
          <w:rFonts w:eastAsia="Times New Roman" w:cs="Times New Roman"/>
          <w:szCs w:val="24"/>
          <w:lang w:eastAsia="es-ES"/>
        </w:rPr>
        <w:t xml:space="preserve"> renta</w:t>
      </w:r>
      <w:r w:rsidR="003570BB" w:rsidRPr="00E312ED">
        <w:rPr>
          <w:rFonts w:eastAsia="Times New Roman" w:cs="Times New Roman"/>
          <w:szCs w:val="24"/>
          <w:lang w:eastAsia="es-ES"/>
        </w:rPr>
        <w:t>s</w:t>
      </w:r>
      <w:r w:rsidR="00E3145F" w:rsidRPr="00E312ED">
        <w:rPr>
          <w:rFonts w:eastAsia="Times New Roman" w:cs="Times New Roman"/>
          <w:szCs w:val="24"/>
          <w:lang w:eastAsia="es-ES"/>
        </w:rPr>
        <w:t xml:space="preserve"> periódica</w:t>
      </w:r>
      <w:r w:rsidR="003570BB" w:rsidRPr="00E312ED">
        <w:rPr>
          <w:rFonts w:eastAsia="Times New Roman" w:cs="Times New Roman"/>
          <w:szCs w:val="24"/>
          <w:lang w:eastAsia="es-ES"/>
        </w:rPr>
        <w:t>s.</w:t>
      </w:r>
    </w:p>
    <w:p w14:paraId="2E9D3567" w14:textId="77777777" w:rsidR="00AC6495" w:rsidRPr="00E312ED" w:rsidRDefault="00AC6495" w:rsidP="000575C3">
      <w:pPr>
        <w:pStyle w:val="Prrafodelista"/>
        <w:spacing w:line="240" w:lineRule="auto"/>
        <w:rPr>
          <w:rFonts w:eastAsia="Times New Roman" w:cs="Times New Roman"/>
          <w:szCs w:val="24"/>
          <w:lang w:eastAsia="es-ES"/>
        </w:rPr>
      </w:pPr>
    </w:p>
    <w:p w14:paraId="462D990F" w14:textId="4D9ECE83" w:rsidR="000673BC" w:rsidRPr="0036277D" w:rsidRDefault="00E97C96" w:rsidP="0036277D">
      <w:pPr>
        <w:pStyle w:val="Prrafodelista"/>
        <w:numPr>
          <w:ilvl w:val="0"/>
          <w:numId w:val="10"/>
        </w:numPr>
        <w:spacing w:line="240" w:lineRule="auto"/>
        <w:jc w:val="both"/>
        <w:rPr>
          <w:rFonts w:eastAsia="Times New Roman" w:cs="Times New Roman"/>
          <w:szCs w:val="24"/>
          <w:lang w:eastAsia="es-ES"/>
        </w:rPr>
      </w:pPr>
      <w:r w:rsidRPr="00FB5718">
        <w:rPr>
          <w:rFonts w:eastAsia="Times New Roman" w:cs="Times New Roman"/>
          <w:szCs w:val="24"/>
          <w:lang w:eastAsia="es-ES"/>
        </w:rPr>
        <w:t xml:space="preserve">El artículo 1 del acuerdo </w:t>
      </w:r>
      <w:r w:rsidRPr="00FB5718">
        <w:rPr>
          <w:rFonts w:eastAsia="Times New Roman" w:cs="Times New Roman"/>
          <w:i/>
          <w:iCs/>
          <w:szCs w:val="24"/>
          <w:lang w:eastAsia="es-ES"/>
        </w:rPr>
        <w:t>SP-A-141-2010, de las once horas del treinta de abril de 2010</w:t>
      </w:r>
      <w:r w:rsidR="00A7258D" w:rsidRPr="00FB5718">
        <w:rPr>
          <w:rFonts w:eastAsia="Times New Roman" w:cs="Times New Roman"/>
          <w:szCs w:val="24"/>
          <w:lang w:eastAsia="es-ES"/>
        </w:rPr>
        <w:t xml:space="preserve"> </w:t>
      </w:r>
      <w:r w:rsidR="00A7258D" w:rsidRPr="00A7258D">
        <w:rPr>
          <w:rFonts w:eastAsia="Times New Roman" w:cs="Times New Roman"/>
          <w:szCs w:val="24"/>
          <w:lang w:eastAsia="es-ES"/>
        </w:rPr>
        <w:t>establece</w:t>
      </w:r>
      <w:r w:rsidR="00A7258D" w:rsidRPr="00FB5718">
        <w:rPr>
          <w:rFonts w:eastAsia="Times New Roman" w:cs="Times New Roman"/>
          <w:szCs w:val="24"/>
          <w:lang w:eastAsia="es-ES"/>
        </w:rPr>
        <w:t xml:space="preserve"> </w:t>
      </w:r>
      <w:r w:rsidR="005A51C3">
        <w:rPr>
          <w:rFonts w:eastAsia="Times New Roman" w:cs="Times New Roman"/>
          <w:szCs w:val="24"/>
          <w:lang w:eastAsia="es-ES"/>
        </w:rPr>
        <w:t xml:space="preserve">el concepto de </w:t>
      </w:r>
      <w:r w:rsidR="005A51C3" w:rsidRPr="00062EE0">
        <w:rPr>
          <w:rFonts w:eastAsia="Times New Roman" w:cs="Times New Roman"/>
          <w:i/>
          <w:iCs/>
          <w:szCs w:val="24"/>
          <w:lang w:eastAsia="es-ES"/>
        </w:rPr>
        <w:t>tasa técnica</w:t>
      </w:r>
      <w:r w:rsidR="005A51C3">
        <w:rPr>
          <w:rFonts w:eastAsia="Times New Roman" w:cs="Times New Roman"/>
          <w:szCs w:val="24"/>
          <w:lang w:eastAsia="es-ES"/>
        </w:rPr>
        <w:t xml:space="preserve">, </w:t>
      </w:r>
      <w:r w:rsidR="00062EE0">
        <w:rPr>
          <w:rFonts w:eastAsia="Times New Roman" w:cs="Times New Roman"/>
          <w:szCs w:val="24"/>
          <w:lang w:eastAsia="es-ES"/>
        </w:rPr>
        <w:t>mismo que se utiliza</w:t>
      </w:r>
      <w:r w:rsidR="00A7258D" w:rsidRPr="00FB5718">
        <w:rPr>
          <w:rFonts w:eastAsia="Times New Roman" w:cs="Times New Roman"/>
          <w:szCs w:val="24"/>
          <w:lang w:eastAsia="es-ES"/>
        </w:rPr>
        <w:t xml:space="preserve"> para calcular el valor</w:t>
      </w:r>
      <w:r w:rsidR="00D52639">
        <w:rPr>
          <w:rFonts w:eastAsia="Times New Roman" w:cs="Times New Roman"/>
          <w:szCs w:val="24"/>
          <w:lang w:eastAsia="es-ES"/>
        </w:rPr>
        <w:t xml:space="preserve"> </w:t>
      </w:r>
      <w:r w:rsidR="00A7258D" w:rsidRPr="00FB5718">
        <w:rPr>
          <w:rFonts w:eastAsia="Times New Roman" w:cs="Times New Roman"/>
          <w:szCs w:val="24"/>
          <w:lang w:eastAsia="es-ES"/>
        </w:rPr>
        <w:t>actuarial de una unidad de pensión, tanto para los fondos denominados en colones como para aquellos en dólares de los Estados Unidos de América</w:t>
      </w:r>
      <w:r w:rsidR="0036277D">
        <w:rPr>
          <w:rFonts w:eastAsia="Times New Roman" w:cs="Times New Roman"/>
          <w:szCs w:val="24"/>
          <w:lang w:eastAsia="es-ES"/>
        </w:rPr>
        <w:t xml:space="preserve">. </w:t>
      </w:r>
      <w:r w:rsidR="00BC74C9" w:rsidRPr="0036277D">
        <w:rPr>
          <w:rFonts w:eastAsia="Times New Roman" w:cs="Times New Roman"/>
          <w:szCs w:val="24"/>
          <w:lang w:eastAsia="es-ES"/>
        </w:rPr>
        <w:t xml:space="preserve">La tasa técnica de interés utiliza como referencia para su cálculo la tasa de crecimiento potencial de la economía local.  </w:t>
      </w:r>
    </w:p>
    <w:p w14:paraId="219DFADB" w14:textId="7E09E6E3" w:rsidR="00AC6495" w:rsidRPr="00B23332" w:rsidRDefault="00AC6495" w:rsidP="00B23332">
      <w:pPr>
        <w:spacing w:line="240" w:lineRule="auto"/>
        <w:jc w:val="both"/>
        <w:rPr>
          <w:rFonts w:eastAsia="Times New Roman" w:cs="Times New Roman"/>
          <w:szCs w:val="24"/>
          <w:lang w:eastAsia="es-ES"/>
        </w:rPr>
      </w:pPr>
    </w:p>
    <w:p w14:paraId="0AE28DC9" w14:textId="2517D0BC" w:rsidR="007B2718" w:rsidRDefault="00181F10" w:rsidP="008A0171">
      <w:pPr>
        <w:pStyle w:val="Prrafodelista"/>
        <w:numPr>
          <w:ilvl w:val="0"/>
          <w:numId w:val="10"/>
        </w:numPr>
        <w:spacing w:line="240" w:lineRule="auto"/>
        <w:jc w:val="both"/>
        <w:rPr>
          <w:rFonts w:cs="Times New Roman"/>
          <w:szCs w:val="24"/>
        </w:rPr>
      </w:pPr>
      <w:r w:rsidRPr="008A0171">
        <w:rPr>
          <w:rFonts w:cs="Times New Roman"/>
          <w:szCs w:val="24"/>
        </w:rPr>
        <w:t>Según</w:t>
      </w:r>
      <w:r w:rsidR="00765595" w:rsidRPr="008A0171">
        <w:rPr>
          <w:rFonts w:cs="Times New Roman"/>
          <w:szCs w:val="24"/>
        </w:rPr>
        <w:t xml:space="preserve"> </w:t>
      </w:r>
      <w:r w:rsidR="002350E1" w:rsidRPr="008A0171">
        <w:rPr>
          <w:rFonts w:cs="Times New Roman"/>
          <w:szCs w:val="24"/>
        </w:rPr>
        <w:t xml:space="preserve">el </w:t>
      </w:r>
      <w:r w:rsidR="0050482D" w:rsidRPr="008A0171">
        <w:rPr>
          <w:rFonts w:cs="Times New Roman"/>
          <w:szCs w:val="24"/>
        </w:rPr>
        <w:t xml:space="preserve">estudio del </w:t>
      </w:r>
      <w:r w:rsidR="002350E1" w:rsidRPr="008A0171">
        <w:rPr>
          <w:rFonts w:cs="Times New Roman"/>
          <w:szCs w:val="24"/>
        </w:rPr>
        <w:t>Banco Central de Costa Rica</w:t>
      </w:r>
      <w:r w:rsidR="0050482D" w:rsidRPr="008A0171">
        <w:rPr>
          <w:rFonts w:cs="Times New Roman"/>
          <w:szCs w:val="24"/>
        </w:rPr>
        <w:t>,</w:t>
      </w:r>
      <w:r w:rsidR="00B668E4" w:rsidRPr="008A0171">
        <w:rPr>
          <w:rFonts w:cs="Times New Roman"/>
          <w:szCs w:val="24"/>
        </w:rPr>
        <w:t xml:space="preserve"> </w:t>
      </w:r>
      <w:r w:rsidR="002350E1" w:rsidRPr="008A0171">
        <w:rPr>
          <w:rFonts w:cs="Times New Roman"/>
          <w:i/>
          <w:iCs/>
          <w:szCs w:val="24"/>
        </w:rPr>
        <w:t>Estimación del producto potencial para Costa Rica</w:t>
      </w:r>
      <w:r w:rsidR="00E27889" w:rsidRPr="008A0171">
        <w:rPr>
          <w:rFonts w:cs="Times New Roman"/>
          <w:i/>
          <w:iCs/>
          <w:szCs w:val="24"/>
        </w:rPr>
        <w:t>,</w:t>
      </w:r>
      <w:r w:rsidR="002350E1" w:rsidRPr="008A0171">
        <w:rPr>
          <w:rFonts w:cs="Times New Roman"/>
          <w:i/>
          <w:iCs/>
          <w:szCs w:val="24"/>
        </w:rPr>
        <w:t xml:space="preserve"> 1995-2021</w:t>
      </w:r>
      <w:r w:rsidR="00883402" w:rsidRPr="008A0171">
        <w:rPr>
          <w:rFonts w:cs="Times New Roman"/>
          <w:szCs w:val="24"/>
        </w:rPr>
        <w:t xml:space="preserve">, </w:t>
      </w:r>
      <w:r w:rsidR="007B7669" w:rsidRPr="008A0171">
        <w:rPr>
          <w:rFonts w:cs="Times New Roman"/>
          <w:szCs w:val="24"/>
        </w:rPr>
        <w:t xml:space="preserve">publicado </w:t>
      </w:r>
      <w:r w:rsidR="00D31F47" w:rsidRPr="008A0171">
        <w:rPr>
          <w:rFonts w:cs="Times New Roman"/>
          <w:szCs w:val="24"/>
        </w:rPr>
        <w:t xml:space="preserve">en mayo de </w:t>
      </w:r>
      <w:r w:rsidR="006378EC" w:rsidRPr="008A0171">
        <w:rPr>
          <w:rFonts w:cs="Times New Roman"/>
          <w:szCs w:val="24"/>
        </w:rPr>
        <w:t>2</w:t>
      </w:r>
      <w:r w:rsidR="007B7669" w:rsidRPr="008A0171">
        <w:rPr>
          <w:rFonts w:cs="Times New Roman"/>
          <w:szCs w:val="24"/>
        </w:rPr>
        <w:t>022,</w:t>
      </w:r>
      <w:r w:rsidR="00BA5376" w:rsidRPr="008A0171">
        <w:rPr>
          <w:rFonts w:cs="Times New Roman"/>
          <w:szCs w:val="24"/>
        </w:rPr>
        <w:t xml:space="preserve"> el cual analiza </w:t>
      </w:r>
      <w:r w:rsidR="007E4BB2" w:rsidRPr="008A0171">
        <w:rPr>
          <w:rFonts w:cs="Times New Roman"/>
          <w:szCs w:val="24"/>
        </w:rPr>
        <w:t>el producto potencial de la economía</w:t>
      </w:r>
      <w:r w:rsidR="00EE745B" w:rsidRPr="008A0171">
        <w:rPr>
          <w:rFonts w:cs="Times New Roman"/>
          <w:szCs w:val="24"/>
        </w:rPr>
        <w:t xml:space="preserve"> para diferentes periodos, </w:t>
      </w:r>
      <w:r w:rsidR="00331705">
        <w:rPr>
          <w:rFonts w:cs="Times New Roman"/>
          <w:szCs w:val="24"/>
        </w:rPr>
        <w:t xml:space="preserve">se </w:t>
      </w:r>
      <w:r w:rsidR="00EE745B" w:rsidRPr="008A0171">
        <w:rPr>
          <w:rFonts w:cs="Times New Roman"/>
          <w:szCs w:val="24"/>
        </w:rPr>
        <w:t>encuen</w:t>
      </w:r>
      <w:r w:rsidR="002A3C92" w:rsidRPr="008A0171">
        <w:rPr>
          <w:rFonts w:cs="Times New Roman"/>
          <w:szCs w:val="24"/>
        </w:rPr>
        <w:t xml:space="preserve">tra que </w:t>
      </w:r>
      <w:r w:rsidR="009E09A3" w:rsidRPr="008A0171">
        <w:rPr>
          <w:rFonts w:cs="Times New Roman"/>
          <w:szCs w:val="24"/>
        </w:rPr>
        <w:t>el</w:t>
      </w:r>
      <w:r w:rsidR="007F40B6" w:rsidRPr="008A0171">
        <w:rPr>
          <w:rFonts w:cs="Times New Roman"/>
          <w:szCs w:val="24"/>
        </w:rPr>
        <w:t xml:space="preserve"> promedio de la tasa de variación del producto potencial así estimado es 3,6% para el período 2010-2019</w:t>
      </w:r>
      <w:r w:rsidR="00B53C28" w:rsidRPr="008A0171">
        <w:rPr>
          <w:rFonts w:cs="Times New Roman"/>
          <w:szCs w:val="24"/>
        </w:rPr>
        <w:t xml:space="preserve"> y 3,3% si además se incluyen los años 2020-2021</w:t>
      </w:r>
      <w:r w:rsidR="00202249" w:rsidRPr="008A0171">
        <w:rPr>
          <w:rFonts w:cs="Times New Roman"/>
          <w:szCs w:val="24"/>
        </w:rPr>
        <w:t xml:space="preserve"> -</w:t>
      </w:r>
      <w:r w:rsidR="00705ECD" w:rsidRPr="008A0171">
        <w:rPr>
          <w:rFonts w:cs="Times New Roman"/>
          <w:szCs w:val="24"/>
        </w:rPr>
        <w:t>lo cual considera el impacto extraordinario de la pandemia</w:t>
      </w:r>
      <w:r w:rsidR="00202249" w:rsidRPr="008A0171">
        <w:rPr>
          <w:rFonts w:cs="Times New Roman"/>
          <w:szCs w:val="24"/>
        </w:rPr>
        <w:t>-</w:t>
      </w:r>
      <w:r w:rsidR="00B53C28" w:rsidRPr="008A0171">
        <w:rPr>
          <w:rFonts w:cs="Times New Roman"/>
          <w:szCs w:val="24"/>
        </w:rPr>
        <w:t>.</w:t>
      </w:r>
      <w:r w:rsidR="00C22C1F" w:rsidRPr="008A0171">
        <w:rPr>
          <w:rFonts w:cs="Times New Roman"/>
          <w:szCs w:val="24"/>
        </w:rPr>
        <w:t xml:space="preserve"> </w:t>
      </w:r>
      <w:r w:rsidR="00F879A0" w:rsidRPr="008A0171">
        <w:rPr>
          <w:rFonts w:cs="Times New Roman"/>
          <w:szCs w:val="24"/>
        </w:rPr>
        <w:t>Adicionalmente</w:t>
      </w:r>
      <w:r w:rsidR="00C22C1F" w:rsidRPr="008A0171">
        <w:rPr>
          <w:rFonts w:cs="Times New Roman"/>
          <w:szCs w:val="24"/>
        </w:rPr>
        <w:t>, el documento</w:t>
      </w:r>
      <w:r w:rsidR="00F879A0" w:rsidRPr="008A0171">
        <w:rPr>
          <w:rFonts w:cs="Times New Roman"/>
          <w:szCs w:val="24"/>
        </w:rPr>
        <w:t xml:space="preserve"> proyecta</w:t>
      </w:r>
      <w:r w:rsidR="00F15B89" w:rsidRPr="008A0171">
        <w:rPr>
          <w:rFonts w:cs="Times New Roman"/>
          <w:szCs w:val="24"/>
        </w:rPr>
        <w:t xml:space="preserve"> una tasa de crecimiento potencial promedio de 3,8% </w:t>
      </w:r>
      <w:r w:rsidR="00EC3A13" w:rsidRPr="008A0171">
        <w:rPr>
          <w:rFonts w:cs="Times New Roman"/>
          <w:szCs w:val="24"/>
        </w:rPr>
        <w:t>para el periodo 2021-2027</w:t>
      </w:r>
      <w:r w:rsidR="001C34D7" w:rsidRPr="008A0171">
        <w:rPr>
          <w:rFonts w:cs="Times New Roman"/>
          <w:szCs w:val="24"/>
        </w:rPr>
        <w:t>.</w:t>
      </w:r>
      <w:r w:rsidR="00B539D6" w:rsidRPr="008A0171">
        <w:rPr>
          <w:rFonts w:cs="Times New Roman"/>
          <w:szCs w:val="24"/>
        </w:rPr>
        <w:t xml:space="preserve"> </w:t>
      </w:r>
    </w:p>
    <w:p w14:paraId="408BC56C" w14:textId="77777777" w:rsidR="007B2718" w:rsidRPr="007B2718" w:rsidRDefault="007B2718" w:rsidP="007B2718">
      <w:pPr>
        <w:pStyle w:val="Prrafodelista"/>
        <w:rPr>
          <w:rFonts w:cs="Times New Roman"/>
          <w:szCs w:val="24"/>
        </w:rPr>
      </w:pPr>
    </w:p>
    <w:p w14:paraId="4E749AD0" w14:textId="6E09D94F" w:rsidR="00803767" w:rsidRPr="008A0171" w:rsidRDefault="00671A6D" w:rsidP="007B2718">
      <w:pPr>
        <w:pStyle w:val="Prrafodelista"/>
        <w:spacing w:line="240" w:lineRule="auto"/>
        <w:jc w:val="both"/>
        <w:rPr>
          <w:rFonts w:cs="Times New Roman"/>
          <w:szCs w:val="24"/>
        </w:rPr>
      </w:pPr>
      <w:r w:rsidRPr="008A0171">
        <w:rPr>
          <w:rFonts w:cs="Times New Roman"/>
          <w:szCs w:val="24"/>
        </w:rPr>
        <w:t>La cifra</w:t>
      </w:r>
      <w:r w:rsidR="00BA2F3F" w:rsidRPr="008A0171">
        <w:rPr>
          <w:rFonts w:cs="Times New Roman"/>
          <w:szCs w:val="24"/>
        </w:rPr>
        <w:t xml:space="preserve"> de 3,6%</w:t>
      </w:r>
      <w:r w:rsidR="00A23881" w:rsidRPr="008A0171">
        <w:rPr>
          <w:rFonts w:cs="Times New Roman"/>
          <w:szCs w:val="24"/>
        </w:rPr>
        <w:t xml:space="preserve"> considera el mayor plazo analizado, evita periodos de alta volatilidad</w:t>
      </w:r>
      <w:r w:rsidR="009061FB" w:rsidRPr="008A0171">
        <w:rPr>
          <w:rFonts w:cs="Times New Roman"/>
          <w:szCs w:val="24"/>
        </w:rPr>
        <w:t xml:space="preserve"> en el producto </w:t>
      </w:r>
      <w:r w:rsidR="009040E9" w:rsidRPr="008A0171">
        <w:rPr>
          <w:rFonts w:cs="Times New Roman"/>
          <w:szCs w:val="24"/>
        </w:rPr>
        <w:t>e ilustra un periodo de variables observadas</w:t>
      </w:r>
      <w:r w:rsidR="008A0171" w:rsidRPr="008A0171">
        <w:rPr>
          <w:rFonts w:cs="Times New Roman"/>
          <w:szCs w:val="24"/>
        </w:rPr>
        <w:t xml:space="preserve">, por lo que se considera </w:t>
      </w:r>
      <w:r w:rsidR="00C858E7">
        <w:rPr>
          <w:rFonts w:cs="Times New Roman"/>
          <w:szCs w:val="24"/>
        </w:rPr>
        <w:t xml:space="preserve">un nivel </w:t>
      </w:r>
      <w:r w:rsidR="008A0171" w:rsidRPr="008A0171">
        <w:rPr>
          <w:rFonts w:cs="Times New Roman"/>
          <w:szCs w:val="24"/>
        </w:rPr>
        <w:t>adecuado</w:t>
      </w:r>
      <w:r w:rsidR="00C858E7">
        <w:rPr>
          <w:rFonts w:cs="Times New Roman"/>
          <w:szCs w:val="24"/>
        </w:rPr>
        <w:t xml:space="preserve"> para</w:t>
      </w:r>
      <w:r w:rsidR="001C7902">
        <w:rPr>
          <w:rFonts w:cs="Times New Roman"/>
          <w:szCs w:val="24"/>
        </w:rPr>
        <w:t xml:space="preserve"> que</w:t>
      </w:r>
      <w:r w:rsidR="00B60008">
        <w:rPr>
          <w:rFonts w:cs="Times New Roman"/>
          <w:szCs w:val="24"/>
        </w:rPr>
        <w:t>, como indica el artículo 1 citado</w:t>
      </w:r>
      <w:r w:rsidR="004F0141">
        <w:rPr>
          <w:rFonts w:cs="Times New Roman"/>
          <w:szCs w:val="24"/>
        </w:rPr>
        <w:t xml:space="preserve"> previamente</w:t>
      </w:r>
      <w:r w:rsidR="00B60008">
        <w:rPr>
          <w:rFonts w:cs="Times New Roman"/>
          <w:szCs w:val="24"/>
        </w:rPr>
        <w:t xml:space="preserve">, </w:t>
      </w:r>
      <w:r w:rsidR="001C7902">
        <w:rPr>
          <w:rFonts w:cs="Times New Roman"/>
          <w:szCs w:val="24"/>
        </w:rPr>
        <w:t xml:space="preserve">se </w:t>
      </w:r>
      <w:r w:rsidR="00151450">
        <w:rPr>
          <w:rFonts w:cs="Times New Roman"/>
          <w:szCs w:val="24"/>
        </w:rPr>
        <w:t>utili</w:t>
      </w:r>
      <w:r w:rsidR="001C7902">
        <w:rPr>
          <w:rFonts w:cs="Times New Roman"/>
          <w:szCs w:val="24"/>
        </w:rPr>
        <w:t>ce</w:t>
      </w:r>
      <w:r w:rsidR="00B60008">
        <w:rPr>
          <w:rFonts w:cs="Times New Roman"/>
          <w:szCs w:val="24"/>
        </w:rPr>
        <w:t xml:space="preserve"> </w:t>
      </w:r>
      <w:r w:rsidR="001C7902">
        <w:rPr>
          <w:rFonts w:cs="Times New Roman"/>
          <w:szCs w:val="24"/>
        </w:rPr>
        <w:t>como</w:t>
      </w:r>
      <w:r w:rsidR="00B60008">
        <w:rPr>
          <w:rFonts w:cs="Times New Roman"/>
          <w:szCs w:val="24"/>
        </w:rPr>
        <w:t xml:space="preserve"> referenci</w:t>
      </w:r>
      <w:r w:rsidR="00217A5B">
        <w:rPr>
          <w:rFonts w:cs="Times New Roman"/>
          <w:szCs w:val="24"/>
        </w:rPr>
        <w:t>a para la tasa técnica</w:t>
      </w:r>
      <w:r w:rsidR="00562A45" w:rsidRPr="008A0171">
        <w:rPr>
          <w:rFonts w:cs="Times New Roman"/>
          <w:szCs w:val="24"/>
        </w:rPr>
        <w:t>.</w:t>
      </w:r>
      <w:r w:rsidR="008A0171" w:rsidRPr="008A0171">
        <w:rPr>
          <w:rFonts w:cs="Times New Roman"/>
          <w:szCs w:val="24"/>
        </w:rPr>
        <w:t xml:space="preserve"> </w:t>
      </w:r>
      <w:r w:rsidR="001C34D7" w:rsidRPr="008A0171">
        <w:rPr>
          <w:rFonts w:cs="Times New Roman"/>
          <w:szCs w:val="24"/>
        </w:rPr>
        <w:t xml:space="preserve">En todo </w:t>
      </w:r>
      <w:r w:rsidR="00E200BA" w:rsidRPr="008A0171">
        <w:rPr>
          <w:rFonts w:cs="Times New Roman"/>
          <w:szCs w:val="24"/>
        </w:rPr>
        <w:t>caso</w:t>
      </w:r>
      <w:r w:rsidR="00AA1212" w:rsidRPr="008A0171">
        <w:rPr>
          <w:rFonts w:cs="Times New Roman"/>
          <w:szCs w:val="24"/>
        </w:rPr>
        <w:t xml:space="preserve">, </w:t>
      </w:r>
      <w:r w:rsidR="00E200BA" w:rsidRPr="008A0171">
        <w:rPr>
          <w:rFonts w:cs="Times New Roman"/>
          <w:szCs w:val="24"/>
        </w:rPr>
        <w:t>las</w:t>
      </w:r>
      <w:r w:rsidR="00AA1212" w:rsidRPr="008A0171">
        <w:rPr>
          <w:rFonts w:cs="Times New Roman"/>
          <w:szCs w:val="24"/>
        </w:rPr>
        <w:t xml:space="preserve"> </w:t>
      </w:r>
      <w:r w:rsidR="008A0171" w:rsidRPr="008A0171">
        <w:rPr>
          <w:rFonts w:cs="Times New Roman"/>
          <w:szCs w:val="24"/>
        </w:rPr>
        <w:t xml:space="preserve">tres </w:t>
      </w:r>
      <w:r w:rsidR="00AA1212" w:rsidRPr="008A0171">
        <w:rPr>
          <w:rFonts w:cs="Times New Roman"/>
          <w:szCs w:val="24"/>
        </w:rPr>
        <w:t xml:space="preserve">referencias </w:t>
      </w:r>
      <w:r w:rsidR="00E200BA" w:rsidRPr="008A0171">
        <w:rPr>
          <w:rFonts w:cs="Times New Roman"/>
          <w:szCs w:val="24"/>
        </w:rPr>
        <w:t xml:space="preserve">son </w:t>
      </w:r>
      <w:r w:rsidR="00AA1212" w:rsidRPr="008A0171">
        <w:rPr>
          <w:rFonts w:cs="Times New Roman"/>
          <w:szCs w:val="24"/>
        </w:rPr>
        <w:t>superiores</w:t>
      </w:r>
      <w:r w:rsidR="00BE5018" w:rsidRPr="008A0171">
        <w:rPr>
          <w:rFonts w:cs="Times New Roman"/>
          <w:szCs w:val="24"/>
        </w:rPr>
        <w:t xml:space="preserve"> </w:t>
      </w:r>
      <w:r w:rsidR="002C38C9" w:rsidRPr="008A0171">
        <w:rPr>
          <w:rFonts w:cs="Times New Roman"/>
          <w:szCs w:val="24"/>
        </w:rPr>
        <w:t xml:space="preserve">al 3,0% consignado </w:t>
      </w:r>
      <w:r w:rsidR="006C2E54" w:rsidRPr="008A0171">
        <w:rPr>
          <w:rFonts w:cs="Times New Roman"/>
          <w:szCs w:val="24"/>
        </w:rPr>
        <w:t xml:space="preserve">actualmente </w:t>
      </w:r>
      <w:r w:rsidR="002C38C9" w:rsidRPr="008A0171">
        <w:rPr>
          <w:rFonts w:cs="Times New Roman"/>
          <w:szCs w:val="24"/>
        </w:rPr>
        <w:t xml:space="preserve">en el </w:t>
      </w:r>
      <w:r w:rsidR="00F607B2" w:rsidRPr="008A0171">
        <w:rPr>
          <w:rFonts w:cs="Times New Roman"/>
          <w:szCs w:val="24"/>
        </w:rPr>
        <w:t xml:space="preserve">artículo 1 del </w:t>
      </w:r>
      <w:r w:rsidR="002C38C9" w:rsidRPr="008A0171">
        <w:rPr>
          <w:rFonts w:cs="Times New Roman"/>
          <w:szCs w:val="24"/>
        </w:rPr>
        <w:t xml:space="preserve">acuerdo </w:t>
      </w:r>
      <w:r w:rsidR="002C38C9" w:rsidRPr="008A0171">
        <w:rPr>
          <w:rFonts w:eastAsia="Times New Roman" w:cs="Times New Roman"/>
          <w:i/>
          <w:iCs/>
          <w:szCs w:val="24"/>
          <w:lang w:eastAsia="es-ES"/>
        </w:rPr>
        <w:t>SP-A-141-2010</w:t>
      </w:r>
      <w:r w:rsidR="00AB7705" w:rsidRPr="008A0171">
        <w:rPr>
          <w:rFonts w:eastAsia="Times New Roman" w:cs="Times New Roman"/>
          <w:szCs w:val="24"/>
          <w:lang w:eastAsia="es-ES"/>
        </w:rPr>
        <w:t>,</w:t>
      </w:r>
      <w:r w:rsidR="00261EA7" w:rsidRPr="008A0171">
        <w:rPr>
          <w:rFonts w:eastAsia="Times New Roman" w:cs="Times New Roman"/>
          <w:szCs w:val="24"/>
          <w:lang w:eastAsia="es-ES"/>
        </w:rPr>
        <w:t xml:space="preserve"> existiendo una oportunidad de actualización</w:t>
      </w:r>
      <w:r w:rsidR="00293F55" w:rsidRPr="008A0171">
        <w:rPr>
          <w:rFonts w:eastAsia="Times New Roman" w:cs="Times New Roman"/>
          <w:szCs w:val="24"/>
          <w:lang w:eastAsia="es-ES"/>
        </w:rPr>
        <w:t>.</w:t>
      </w:r>
      <w:r w:rsidR="00376683" w:rsidRPr="008A0171">
        <w:rPr>
          <w:rFonts w:eastAsia="Times New Roman" w:cs="Times New Roman"/>
          <w:szCs w:val="24"/>
          <w:lang w:eastAsia="es-ES"/>
        </w:rPr>
        <w:t xml:space="preserve"> </w:t>
      </w:r>
    </w:p>
    <w:p w14:paraId="59C59020" w14:textId="77777777" w:rsidR="00803767" w:rsidRPr="00803767" w:rsidRDefault="00803767" w:rsidP="00586B65">
      <w:pPr>
        <w:spacing w:line="240" w:lineRule="auto"/>
        <w:contextualSpacing/>
        <w:jc w:val="both"/>
        <w:rPr>
          <w:rFonts w:eastAsia="Times New Roman" w:cs="Times New Roman"/>
          <w:i/>
          <w:iCs/>
          <w:szCs w:val="24"/>
          <w:lang w:eastAsia="es-ES"/>
        </w:rPr>
      </w:pPr>
    </w:p>
    <w:p w14:paraId="19780DA9" w14:textId="2BD3C2C9" w:rsidR="009058AA" w:rsidRDefault="00F607B2" w:rsidP="00586B65">
      <w:pPr>
        <w:pStyle w:val="Prrafodelista"/>
        <w:numPr>
          <w:ilvl w:val="0"/>
          <w:numId w:val="10"/>
        </w:numPr>
        <w:spacing w:line="240" w:lineRule="auto"/>
        <w:jc w:val="both"/>
        <w:rPr>
          <w:rFonts w:eastAsia="Times New Roman" w:cs="Times New Roman"/>
          <w:szCs w:val="24"/>
          <w:lang w:eastAsia="es-ES"/>
        </w:rPr>
      </w:pPr>
      <w:r w:rsidRPr="00F607B2">
        <w:rPr>
          <w:rFonts w:eastAsia="Times New Roman" w:cs="Times New Roman"/>
          <w:szCs w:val="24"/>
          <w:lang w:eastAsia="es-ES"/>
        </w:rPr>
        <w:t xml:space="preserve">Al tratarse de un cálculo de valor presente, </w:t>
      </w:r>
      <w:r w:rsidR="00CA1E2F">
        <w:rPr>
          <w:rFonts w:eastAsia="Times New Roman" w:cs="Times New Roman"/>
          <w:szCs w:val="24"/>
          <w:lang w:eastAsia="es-ES"/>
        </w:rPr>
        <w:t xml:space="preserve">los </w:t>
      </w:r>
      <w:r w:rsidRPr="00F607B2">
        <w:rPr>
          <w:rFonts w:eastAsia="Times New Roman" w:cs="Times New Roman"/>
          <w:szCs w:val="24"/>
          <w:lang w:eastAsia="es-ES"/>
        </w:rPr>
        <w:t xml:space="preserve">aumentos en la tasa </w:t>
      </w:r>
      <w:r>
        <w:rPr>
          <w:rFonts w:eastAsia="Times New Roman" w:cs="Times New Roman"/>
          <w:szCs w:val="24"/>
          <w:lang w:eastAsia="es-ES"/>
        </w:rPr>
        <w:t xml:space="preserve">técnica </w:t>
      </w:r>
      <w:r w:rsidRPr="00F607B2">
        <w:rPr>
          <w:rFonts w:eastAsia="Times New Roman" w:cs="Times New Roman"/>
          <w:szCs w:val="24"/>
          <w:lang w:eastAsia="es-ES"/>
        </w:rPr>
        <w:t xml:space="preserve">implican una disminución en el </w:t>
      </w:r>
      <w:r w:rsidR="00AA44B6">
        <w:rPr>
          <w:rFonts w:eastAsia="Times New Roman" w:cs="Times New Roman"/>
          <w:szCs w:val="24"/>
          <w:lang w:eastAsia="es-ES"/>
        </w:rPr>
        <w:t>valor</w:t>
      </w:r>
      <w:r w:rsidR="00C5095E">
        <w:rPr>
          <w:rFonts w:eastAsia="Times New Roman" w:cs="Times New Roman"/>
          <w:szCs w:val="24"/>
          <w:lang w:eastAsia="es-ES"/>
        </w:rPr>
        <w:t xml:space="preserve"> de una unidad de pensión</w:t>
      </w:r>
      <w:r w:rsidRPr="00F607B2">
        <w:rPr>
          <w:rFonts w:eastAsia="Times New Roman" w:cs="Times New Roman"/>
          <w:szCs w:val="24"/>
          <w:lang w:eastAsia="es-ES"/>
        </w:rPr>
        <w:t xml:space="preserve"> y</w:t>
      </w:r>
      <w:r w:rsidR="00CA1E2F">
        <w:rPr>
          <w:rFonts w:eastAsia="Times New Roman" w:cs="Times New Roman"/>
          <w:szCs w:val="24"/>
          <w:lang w:eastAsia="es-ES"/>
        </w:rPr>
        <w:t>,</w:t>
      </w:r>
      <w:r w:rsidRPr="00F607B2">
        <w:rPr>
          <w:rFonts w:eastAsia="Times New Roman" w:cs="Times New Roman"/>
          <w:szCs w:val="24"/>
          <w:lang w:eastAsia="es-ES"/>
        </w:rPr>
        <w:t xml:space="preserve"> por ende</w:t>
      </w:r>
      <w:r w:rsidR="00CA1E2F">
        <w:rPr>
          <w:rFonts w:eastAsia="Times New Roman" w:cs="Times New Roman"/>
          <w:szCs w:val="24"/>
          <w:lang w:eastAsia="es-ES"/>
        </w:rPr>
        <w:t>,</w:t>
      </w:r>
      <w:r w:rsidRPr="00F607B2">
        <w:rPr>
          <w:rFonts w:eastAsia="Times New Roman" w:cs="Times New Roman"/>
          <w:szCs w:val="24"/>
          <w:lang w:eastAsia="es-ES"/>
        </w:rPr>
        <w:t xml:space="preserve"> </w:t>
      </w:r>
      <w:r w:rsidR="00B0687E">
        <w:rPr>
          <w:rFonts w:eastAsia="Times New Roman" w:cs="Times New Roman"/>
          <w:szCs w:val="24"/>
          <w:lang w:eastAsia="es-ES"/>
        </w:rPr>
        <w:t xml:space="preserve">al momento del ajuste, </w:t>
      </w:r>
      <w:r w:rsidR="001F2DF1">
        <w:rPr>
          <w:rFonts w:eastAsia="Times New Roman" w:cs="Times New Roman"/>
          <w:szCs w:val="24"/>
          <w:lang w:eastAsia="es-ES"/>
        </w:rPr>
        <w:t xml:space="preserve">se tendría </w:t>
      </w:r>
      <w:r w:rsidRPr="00F607B2">
        <w:rPr>
          <w:rFonts w:eastAsia="Times New Roman" w:cs="Times New Roman"/>
          <w:szCs w:val="24"/>
          <w:lang w:eastAsia="es-ES"/>
        </w:rPr>
        <w:t xml:space="preserve">un cambio positivo en los montos de pensión </w:t>
      </w:r>
      <w:r w:rsidR="009058AA">
        <w:rPr>
          <w:rFonts w:eastAsia="Times New Roman" w:cs="Times New Roman"/>
          <w:szCs w:val="24"/>
          <w:lang w:eastAsia="es-ES"/>
        </w:rPr>
        <w:t>cuy</w:t>
      </w:r>
      <w:r w:rsidR="00DF50EE">
        <w:rPr>
          <w:rFonts w:eastAsia="Times New Roman" w:cs="Times New Roman"/>
          <w:szCs w:val="24"/>
          <w:lang w:eastAsia="es-ES"/>
        </w:rPr>
        <w:t>a modalidad</w:t>
      </w:r>
      <w:r w:rsidR="001B18A4">
        <w:rPr>
          <w:rFonts w:eastAsia="Times New Roman" w:cs="Times New Roman"/>
          <w:szCs w:val="24"/>
          <w:lang w:eastAsia="es-ES"/>
        </w:rPr>
        <w:t xml:space="preserve"> dependa de ese indicador</w:t>
      </w:r>
      <w:r w:rsidR="007F07A0">
        <w:rPr>
          <w:rFonts w:eastAsia="Times New Roman" w:cs="Times New Roman"/>
          <w:szCs w:val="24"/>
          <w:lang w:eastAsia="es-ES"/>
        </w:rPr>
        <w:t>,</w:t>
      </w:r>
      <w:r w:rsidR="006D4268">
        <w:rPr>
          <w:rFonts w:eastAsia="Times New Roman" w:cs="Times New Roman"/>
          <w:szCs w:val="24"/>
          <w:lang w:eastAsia="es-ES"/>
        </w:rPr>
        <w:t xml:space="preserve"> con el consecuente incremento en la desacumulación.</w:t>
      </w:r>
    </w:p>
    <w:p w14:paraId="6B1A9A8C" w14:textId="77777777" w:rsidR="00565EB3" w:rsidRPr="00885076" w:rsidRDefault="00565EB3" w:rsidP="00885076">
      <w:pPr>
        <w:spacing w:line="240" w:lineRule="auto"/>
        <w:jc w:val="both"/>
        <w:rPr>
          <w:rFonts w:eastAsia="Times New Roman" w:cs="Times New Roman"/>
          <w:szCs w:val="24"/>
          <w:lang w:eastAsia="es-ES"/>
        </w:rPr>
      </w:pPr>
    </w:p>
    <w:p w14:paraId="159E1E27" w14:textId="0A29C6CB" w:rsidR="004E6637" w:rsidRDefault="00542579" w:rsidP="009D3578">
      <w:pPr>
        <w:pStyle w:val="Prrafodelista"/>
        <w:numPr>
          <w:ilvl w:val="0"/>
          <w:numId w:val="10"/>
        </w:numPr>
        <w:spacing w:line="240" w:lineRule="auto"/>
        <w:jc w:val="both"/>
        <w:rPr>
          <w:rFonts w:eastAsia="Times New Roman" w:cs="Times New Roman"/>
          <w:szCs w:val="24"/>
          <w:lang w:eastAsia="es-ES"/>
        </w:rPr>
      </w:pPr>
      <w:r w:rsidRPr="00542579">
        <w:rPr>
          <w:rFonts w:eastAsia="Times New Roman" w:cs="Times New Roman"/>
          <w:szCs w:val="24"/>
          <w:lang w:eastAsia="es-ES"/>
        </w:rPr>
        <w:t xml:space="preserve">El artículo 361 de la </w:t>
      </w:r>
      <w:r w:rsidRPr="00B04D6E">
        <w:rPr>
          <w:rFonts w:eastAsia="Times New Roman" w:cs="Times New Roman"/>
          <w:i/>
          <w:iCs/>
          <w:szCs w:val="24"/>
          <w:lang w:eastAsia="es-ES"/>
        </w:rPr>
        <w:t>Ley General de la Administración Pública</w:t>
      </w:r>
      <w:r w:rsidRPr="00542579">
        <w:rPr>
          <w:rFonts w:eastAsia="Times New Roman" w:cs="Times New Roman"/>
          <w:szCs w:val="24"/>
          <w:lang w:eastAsia="es-ES"/>
        </w:rPr>
        <w:t xml:space="preserve"> establece que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w:t>
      </w:r>
    </w:p>
    <w:p w14:paraId="7FBC1AA1" w14:textId="77777777" w:rsidR="009D3578" w:rsidRPr="009D3578" w:rsidRDefault="009D3578" w:rsidP="009D3578">
      <w:pPr>
        <w:spacing w:line="240" w:lineRule="auto"/>
        <w:jc w:val="both"/>
        <w:rPr>
          <w:rFonts w:eastAsia="Times New Roman" w:cs="Times New Roman"/>
          <w:szCs w:val="24"/>
          <w:lang w:eastAsia="es-ES"/>
        </w:rPr>
      </w:pPr>
    </w:p>
    <w:p w14:paraId="565406F8" w14:textId="2113F9BD" w:rsidR="001D6A99" w:rsidRDefault="004E6637" w:rsidP="001D6A99">
      <w:pPr>
        <w:pStyle w:val="Prrafodelista"/>
        <w:spacing w:line="240" w:lineRule="auto"/>
        <w:jc w:val="both"/>
        <w:rPr>
          <w:rFonts w:eastAsia="Times New Roman" w:cs="Times New Roman"/>
          <w:szCs w:val="24"/>
          <w:lang w:eastAsia="es-ES"/>
        </w:rPr>
      </w:pPr>
      <w:r>
        <w:rPr>
          <w:rFonts w:eastAsia="Times New Roman" w:cs="Times New Roman"/>
          <w:szCs w:val="24"/>
          <w:lang w:eastAsia="es-ES"/>
        </w:rPr>
        <w:t xml:space="preserve">Como es público y notorio, </w:t>
      </w:r>
      <w:r w:rsidR="00775C15">
        <w:rPr>
          <w:rFonts w:eastAsia="Times New Roman" w:cs="Times New Roman"/>
          <w:szCs w:val="24"/>
          <w:lang w:eastAsia="es-ES"/>
        </w:rPr>
        <w:t xml:space="preserve">el valor de </w:t>
      </w:r>
      <w:r w:rsidR="00F1585A">
        <w:rPr>
          <w:rFonts w:eastAsia="Times New Roman" w:cs="Times New Roman"/>
          <w:szCs w:val="24"/>
          <w:lang w:eastAsia="es-ES"/>
        </w:rPr>
        <w:t xml:space="preserve">los </w:t>
      </w:r>
      <w:r w:rsidR="00775C15">
        <w:rPr>
          <w:rFonts w:eastAsia="Times New Roman" w:cs="Times New Roman"/>
          <w:szCs w:val="24"/>
          <w:lang w:eastAsia="es-ES"/>
        </w:rPr>
        <w:t xml:space="preserve">instrumentos financieros en los que se encuentran invertidos los recursos de los </w:t>
      </w:r>
      <w:r w:rsidR="00F1585A">
        <w:rPr>
          <w:rFonts w:eastAsia="Times New Roman" w:cs="Times New Roman"/>
          <w:szCs w:val="24"/>
          <w:lang w:eastAsia="es-ES"/>
        </w:rPr>
        <w:t xml:space="preserve">fondos </w:t>
      </w:r>
      <w:r w:rsidR="00775C15">
        <w:rPr>
          <w:rFonts w:eastAsia="Times New Roman" w:cs="Times New Roman"/>
          <w:szCs w:val="24"/>
          <w:lang w:eastAsia="es-ES"/>
        </w:rPr>
        <w:t xml:space="preserve">de </w:t>
      </w:r>
      <w:r w:rsidR="00120C34">
        <w:rPr>
          <w:rFonts w:eastAsia="Times New Roman" w:cs="Times New Roman"/>
          <w:szCs w:val="24"/>
          <w:lang w:eastAsia="es-ES"/>
        </w:rPr>
        <w:t>pensiones</w:t>
      </w:r>
      <w:r w:rsidR="003F276A">
        <w:rPr>
          <w:rFonts w:eastAsia="Times New Roman" w:cs="Times New Roman"/>
          <w:szCs w:val="24"/>
          <w:lang w:eastAsia="es-ES"/>
        </w:rPr>
        <w:t xml:space="preserve"> </w:t>
      </w:r>
      <w:r w:rsidR="00F1585A">
        <w:rPr>
          <w:rFonts w:eastAsia="Times New Roman" w:cs="Times New Roman"/>
          <w:szCs w:val="24"/>
          <w:lang w:eastAsia="es-ES"/>
        </w:rPr>
        <w:t>ha</w:t>
      </w:r>
      <w:r w:rsidR="003C7287">
        <w:rPr>
          <w:rFonts w:eastAsia="Times New Roman" w:cs="Times New Roman"/>
          <w:szCs w:val="24"/>
          <w:lang w:eastAsia="es-ES"/>
        </w:rPr>
        <w:t xml:space="preserve"> </w:t>
      </w:r>
      <w:r w:rsidR="00F1585A">
        <w:rPr>
          <w:rFonts w:eastAsia="Times New Roman" w:cs="Times New Roman"/>
          <w:szCs w:val="24"/>
          <w:lang w:eastAsia="es-ES"/>
        </w:rPr>
        <w:t xml:space="preserve">venido sufriendo </w:t>
      </w:r>
      <w:r w:rsidR="00F1585A">
        <w:rPr>
          <w:rFonts w:eastAsia="Times New Roman" w:cs="Times New Roman"/>
          <w:szCs w:val="24"/>
          <w:lang w:eastAsia="es-ES"/>
        </w:rPr>
        <w:lastRenderedPageBreak/>
        <w:t>minusvalías a lo largo de los últimos meses</w:t>
      </w:r>
      <w:r w:rsidR="00775C15">
        <w:rPr>
          <w:rFonts w:eastAsia="Times New Roman" w:cs="Times New Roman"/>
          <w:szCs w:val="24"/>
          <w:lang w:eastAsia="es-ES"/>
        </w:rPr>
        <w:t xml:space="preserve">, tanto a nivel </w:t>
      </w:r>
      <w:r w:rsidR="00D2067A">
        <w:rPr>
          <w:rFonts w:eastAsia="Times New Roman" w:cs="Times New Roman"/>
          <w:szCs w:val="24"/>
          <w:lang w:eastAsia="es-ES"/>
        </w:rPr>
        <w:t xml:space="preserve">local o internacional, </w:t>
      </w:r>
      <w:r w:rsidR="00716371">
        <w:rPr>
          <w:rFonts w:eastAsia="Times New Roman" w:cs="Times New Roman"/>
          <w:szCs w:val="24"/>
          <w:lang w:eastAsia="es-ES"/>
        </w:rPr>
        <w:t>producto</w:t>
      </w:r>
      <w:r w:rsidR="00C41D86">
        <w:rPr>
          <w:rFonts w:eastAsia="Times New Roman" w:cs="Times New Roman"/>
          <w:szCs w:val="24"/>
          <w:lang w:eastAsia="es-ES"/>
        </w:rPr>
        <w:t xml:space="preserve"> de ajustes </w:t>
      </w:r>
      <w:r w:rsidR="004D0686">
        <w:rPr>
          <w:rFonts w:eastAsia="Times New Roman" w:cs="Times New Roman"/>
          <w:szCs w:val="24"/>
          <w:lang w:eastAsia="es-ES"/>
        </w:rPr>
        <w:t>en los</w:t>
      </w:r>
      <w:r w:rsidR="00C41D86">
        <w:rPr>
          <w:rFonts w:eastAsia="Times New Roman" w:cs="Times New Roman"/>
          <w:szCs w:val="24"/>
          <w:lang w:eastAsia="es-ES"/>
        </w:rPr>
        <w:t xml:space="preserve"> precios </w:t>
      </w:r>
      <w:r w:rsidR="00250C01">
        <w:rPr>
          <w:rFonts w:eastAsia="Times New Roman" w:cs="Times New Roman"/>
          <w:szCs w:val="24"/>
          <w:lang w:eastAsia="es-ES"/>
        </w:rPr>
        <w:t xml:space="preserve">de instrumentos </w:t>
      </w:r>
      <w:r w:rsidR="00144AE8">
        <w:rPr>
          <w:rFonts w:eastAsia="Times New Roman" w:cs="Times New Roman"/>
          <w:szCs w:val="24"/>
          <w:lang w:eastAsia="es-ES"/>
        </w:rPr>
        <w:t xml:space="preserve">en los </w:t>
      </w:r>
      <w:r w:rsidR="00782EAF">
        <w:rPr>
          <w:rFonts w:eastAsia="Times New Roman" w:cs="Times New Roman"/>
          <w:szCs w:val="24"/>
          <w:lang w:eastAsia="es-ES"/>
        </w:rPr>
        <w:t xml:space="preserve">diferentes </w:t>
      </w:r>
      <w:r w:rsidR="00144AE8">
        <w:rPr>
          <w:rFonts w:eastAsia="Times New Roman" w:cs="Times New Roman"/>
          <w:szCs w:val="24"/>
          <w:lang w:eastAsia="es-ES"/>
        </w:rPr>
        <w:t>mercados financieros</w:t>
      </w:r>
      <w:r w:rsidR="009109E5">
        <w:rPr>
          <w:rFonts w:eastAsia="Times New Roman" w:cs="Times New Roman"/>
          <w:szCs w:val="24"/>
          <w:lang w:eastAsia="es-ES"/>
        </w:rPr>
        <w:t>.</w:t>
      </w:r>
      <w:r w:rsidR="00C86232">
        <w:rPr>
          <w:rFonts w:eastAsia="Times New Roman" w:cs="Times New Roman"/>
          <w:szCs w:val="24"/>
          <w:lang w:eastAsia="es-ES"/>
        </w:rPr>
        <w:t xml:space="preserve"> Estas minusvalías </w:t>
      </w:r>
      <w:r w:rsidR="00A429C9">
        <w:rPr>
          <w:rFonts w:eastAsia="Times New Roman" w:cs="Times New Roman"/>
          <w:szCs w:val="24"/>
          <w:lang w:eastAsia="es-ES"/>
        </w:rPr>
        <w:t>afecta</w:t>
      </w:r>
      <w:r w:rsidR="00370DBD">
        <w:rPr>
          <w:rFonts w:eastAsia="Times New Roman" w:cs="Times New Roman"/>
          <w:szCs w:val="24"/>
          <w:lang w:eastAsia="es-ES"/>
        </w:rPr>
        <w:t>n</w:t>
      </w:r>
      <w:r w:rsidR="00A429C9">
        <w:rPr>
          <w:rFonts w:eastAsia="Times New Roman" w:cs="Times New Roman"/>
          <w:szCs w:val="24"/>
          <w:lang w:eastAsia="es-ES"/>
        </w:rPr>
        <w:t xml:space="preserve"> a los actuales afiliados que</w:t>
      </w:r>
      <w:r w:rsidR="006F7F71">
        <w:rPr>
          <w:rFonts w:eastAsia="Times New Roman" w:cs="Times New Roman"/>
          <w:szCs w:val="24"/>
          <w:lang w:eastAsia="es-ES"/>
        </w:rPr>
        <w:t>, al momento,</w:t>
      </w:r>
      <w:r w:rsidR="00A429C9">
        <w:rPr>
          <w:rFonts w:eastAsia="Times New Roman" w:cs="Times New Roman"/>
          <w:szCs w:val="24"/>
          <w:lang w:eastAsia="es-ES"/>
        </w:rPr>
        <w:t xml:space="preserve"> optan por un producto de desacumulación, </w:t>
      </w:r>
      <w:r w:rsidR="00565794">
        <w:rPr>
          <w:rFonts w:eastAsia="Times New Roman" w:cs="Times New Roman"/>
          <w:szCs w:val="24"/>
          <w:lang w:eastAsia="es-ES"/>
        </w:rPr>
        <w:t>y</w:t>
      </w:r>
      <w:r w:rsidR="00A429C9">
        <w:rPr>
          <w:rFonts w:eastAsia="Times New Roman" w:cs="Times New Roman"/>
          <w:szCs w:val="24"/>
          <w:lang w:eastAsia="es-ES"/>
        </w:rPr>
        <w:t xml:space="preserve"> a los actuales pensionados</w:t>
      </w:r>
      <w:r w:rsidR="006F7F71">
        <w:rPr>
          <w:rFonts w:eastAsia="Times New Roman" w:cs="Times New Roman"/>
          <w:szCs w:val="24"/>
          <w:lang w:eastAsia="es-ES"/>
        </w:rPr>
        <w:t xml:space="preserve"> de los </w:t>
      </w:r>
      <w:r w:rsidR="00F11268">
        <w:rPr>
          <w:rFonts w:eastAsia="Times New Roman" w:cs="Times New Roman"/>
          <w:szCs w:val="24"/>
          <w:lang w:eastAsia="es-ES"/>
        </w:rPr>
        <w:t>r</w:t>
      </w:r>
      <w:r w:rsidR="006F7F71">
        <w:rPr>
          <w:rFonts w:eastAsia="Times New Roman" w:cs="Times New Roman"/>
          <w:szCs w:val="24"/>
          <w:lang w:eastAsia="es-ES"/>
        </w:rPr>
        <w:t xml:space="preserve">egímenes </w:t>
      </w:r>
      <w:r w:rsidR="00F11268">
        <w:rPr>
          <w:rFonts w:eastAsia="Times New Roman" w:cs="Times New Roman"/>
          <w:szCs w:val="24"/>
          <w:lang w:eastAsia="es-ES"/>
        </w:rPr>
        <w:t>c</w:t>
      </w:r>
      <w:r w:rsidR="006F7F71">
        <w:rPr>
          <w:rFonts w:eastAsia="Times New Roman" w:cs="Times New Roman"/>
          <w:szCs w:val="24"/>
          <w:lang w:eastAsia="es-ES"/>
        </w:rPr>
        <w:t>omplementari</w:t>
      </w:r>
      <w:r w:rsidR="001C220E">
        <w:rPr>
          <w:rFonts w:eastAsia="Times New Roman" w:cs="Times New Roman"/>
          <w:szCs w:val="24"/>
          <w:lang w:eastAsia="es-ES"/>
        </w:rPr>
        <w:t>o</w:t>
      </w:r>
      <w:r w:rsidR="006F7F71">
        <w:rPr>
          <w:rFonts w:eastAsia="Times New Roman" w:cs="Times New Roman"/>
          <w:szCs w:val="24"/>
          <w:lang w:eastAsia="es-ES"/>
        </w:rPr>
        <w:t>s,</w:t>
      </w:r>
      <w:r w:rsidR="009A0CEA">
        <w:rPr>
          <w:rFonts w:eastAsia="Times New Roman" w:cs="Times New Roman"/>
          <w:szCs w:val="24"/>
          <w:lang w:eastAsia="es-ES"/>
        </w:rPr>
        <w:t xml:space="preserve"> situación que </w:t>
      </w:r>
      <w:r w:rsidR="0056508F">
        <w:rPr>
          <w:rFonts w:eastAsia="Times New Roman" w:cs="Times New Roman"/>
          <w:szCs w:val="24"/>
          <w:lang w:eastAsia="es-ES"/>
        </w:rPr>
        <w:t>demanda</w:t>
      </w:r>
      <w:r w:rsidR="009A0CEA">
        <w:rPr>
          <w:rFonts w:eastAsia="Times New Roman" w:cs="Times New Roman"/>
          <w:szCs w:val="24"/>
          <w:lang w:eastAsia="es-ES"/>
        </w:rPr>
        <w:t xml:space="preserve"> </w:t>
      </w:r>
      <w:r w:rsidR="00BD440C">
        <w:rPr>
          <w:rFonts w:eastAsia="Times New Roman" w:cs="Times New Roman"/>
          <w:szCs w:val="24"/>
          <w:lang w:eastAsia="es-ES"/>
        </w:rPr>
        <w:t xml:space="preserve">que </w:t>
      </w:r>
      <w:r w:rsidR="004B0323">
        <w:rPr>
          <w:rFonts w:eastAsia="Times New Roman" w:cs="Times New Roman"/>
          <w:szCs w:val="24"/>
          <w:lang w:eastAsia="es-ES"/>
        </w:rPr>
        <w:t>acciones que vayan en beneficio de afiliados</w:t>
      </w:r>
      <w:r w:rsidR="004833FC">
        <w:rPr>
          <w:rFonts w:eastAsia="Times New Roman" w:cs="Times New Roman"/>
          <w:szCs w:val="24"/>
          <w:lang w:eastAsia="es-ES"/>
        </w:rPr>
        <w:t xml:space="preserve"> y pensionados, como </w:t>
      </w:r>
      <w:r w:rsidR="00996E56">
        <w:rPr>
          <w:rFonts w:eastAsia="Times New Roman" w:cs="Times New Roman"/>
          <w:szCs w:val="24"/>
          <w:lang w:eastAsia="es-ES"/>
        </w:rPr>
        <w:t xml:space="preserve">lo es la </w:t>
      </w:r>
      <w:r w:rsidR="00984C90">
        <w:rPr>
          <w:rFonts w:eastAsia="Times New Roman" w:cs="Times New Roman"/>
          <w:szCs w:val="24"/>
          <w:lang w:eastAsia="es-ES"/>
        </w:rPr>
        <w:t>actualizaci</w:t>
      </w:r>
      <w:r w:rsidR="004833FC">
        <w:rPr>
          <w:rFonts w:eastAsia="Times New Roman" w:cs="Times New Roman"/>
          <w:szCs w:val="24"/>
          <w:lang w:eastAsia="es-ES"/>
        </w:rPr>
        <w:t>ón</w:t>
      </w:r>
      <w:r w:rsidR="00984C90">
        <w:rPr>
          <w:rFonts w:eastAsia="Times New Roman" w:cs="Times New Roman"/>
          <w:szCs w:val="24"/>
          <w:lang w:eastAsia="es-ES"/>
        </w:rPr>
        <w:t xml:space="preserve"> </w:t>
      </w:r>
      <w:r w:rsidR="004833FC">
        <w:rPr>
          <w:rFonts w:eastAsia="Times New Roman" w:cs="Times New Roman"/>
          <w:szCs w:val="24"/>
          <w:lang w:eastAsia="es-ES"/>
        </w:rPr>
        <w:t>de</w:t>
      </w:r>
      <w:r w:rsidR="00984C90">
        <w:rPr>
          <w:rFonts w:eastAsia="Times New Roman" w:cs="Times New Roman"/>
          <w:szCs w:val="24"/>
          <w:lang w:eastAsia="es-ES"/>
        </w:rPr>
        <w:t xml:space="preserve"> la tasa técnica</w:t>
      </w:r>
      <w:r w:rsidR="007D1FDD">
        <w:rPr>
          <w:rFonts w:eastAsia="Times New Roman" w:cs="Times New Roman"/>
          <w:szCs w:val="24"/>
          <w:lang w:eastAsia="es-ES"/>
        </w:rPr>
        <w:t xml:space="preserve">, </w:t>
      </w:r>
      <w:r w:rsidR="00C93530">
        <w:rPr>
          <w:rFonts w:eastAsia="Times New Roman" w:cs="Times New Roman"/>
          <w:szCs w:val="24"/>
          <w:lang w:eastAsia="es-ES"/>
        </w:rPr>
        <w:t xml:space="preserve">se tomen de manera célere y </w:t>
      </w:r>
      <w:r w:rsidR="00984C90">
        <w:rPr>
          <w:rFonts w:eastAsia="Times New Roman" w:cs="Times New Roman"/>
          <w:szCs w:val="24"/>
          <w:lang w:eastAsia="es-ES"/>
        </w:rPr>
        <w:t>o</w:t>
      </w:r>
      <w:r w:rsidR="00F36844">
        <w:rPr>
          <w:rFonts w:eastAsia="Times New Roman" w:cs="Times New Roman"/>
          <w:szCs w:val="24"/>
          <w:lang w:eastAsia="es-ES"/>
        </w:rPr>
        <w:t>portuna</w:t>
      </w:r>
      <w:r w:rsidR="0022535D">
        <w:rPr>
          <w:rFonts w:eastAsia="Times New Roman" w:cs="Times New Roman"/>
          <w:szCs w:val="24"/>
          <w:lang w:eastAsia="es-ES"/>
        </w:rPr>
        <w:t>.</w:t>
      </w:r>
    </w:p>
    <w:p w14:paraId="536E1B61" w14:textId="77777777" w:rsidR="001D6A99" w:rsidRDefault="001D6A99" w:rsidP="001D6A99">
      <w:pPr>
        <w:pStyle w:val="Prrafodelista"/>
        <w:spacing w:line="240" w:lineRule="auto"/>
        <w:jc w:val="both"/>
        <w:rPr>
          <w:rFonts w:eastAsia="Times New Roman" w:cs="Times New Roman"/>
          <w:szCs w:val="24"/>
          <w:lang w:eastAsia="es-ES"/>
        </w:rPr>
      </w:pPr>
    </w:p>
    <w:p w14:paraId="6491B270" w14:textId="2DA64F81" w:rsidR="004D1EC0" w:rsidRDefault="008935DA" w:rsidP="000B656F">
      <w:pPr>
        <w:pStyle w:val="Prrafodelista"/>
        <w:spacing w:line="240" w:lineRule="auto"/>
        <w:jc w:val="both"/>
        <w:rPr>
          <w:rFonts w:eastAsia="Times New Roman" w:cs="Times New Roman"/>
          <w:szCs w:val="24"/>
          <w:lang w:eastAsia="es-ES"/>
        </w:rPr>
      </w:pPr>
      <w:r>
        <w:rPr>
          <w:rFonts w:eastAsia="Times New Roman" w:cs="Times New Roman"/>
          <w:szCs w:val="24"/>
          <w:lang w:eastAsia="es-ES"/>
        </w:rPr>
        <w:t>Adicionalmente</w:t>
      </w:r>
      <w:r w:rsidR="001D6A99">
        <w:rPr>
          <w:rFonts w:eastAsia="Times New Roman" w:cs="Times New Roman"/>
          <w:szCs w:val="24"/>
          <w:lang w:eastAsia="es-ES"/>
        </w:rPr>
        <w:t xml:space="preserve">, </w:t>
      </w:r>
      <w:r w:rsidR="00822402">
        <w:rPr>
          <w:rFonts w:eastAsia="Times New Roman" w:cs="Times New Roman"/>
          <w:szCs w:val="24"/>
          <w:lang w:eastAsia="es-ES"/>
        </w:rPr>
        <w:t>l</w:t>
      </w:r>
      <w:r w:rsidR="00542579" w:rsidRPr="001D6A99">
        <w:rPr>
          <w:rFonts w:eastAsia="Times New Roman" w:cs="Times New Roman"/>
          <w:szCs w:val="24"/>
          <w:lang w:eastAsia="es-ES"/>
        </w:rPr>
        <w:t xml:space="preserve">a </w:t>
      </w:r>
      <w:r w:rsidR="00381232" w:rsidRPr="001D6A99">
        <w:rPr>
          <w:rFonts w:eastAsia="Times New Roman" w:cs="Times New Roman"/>
          <w:szCs w:val="24"/>
          <w:lang w:eastAsia="es-ES"/>
        </w:rPr>
        <w:t>actualización</w:t>
      </w:r>
      <w:r w:rsidR="00542579" w:rsidRPr="001D6A99">
        <w:rPr>
          <w:rFonts w:eastAsia="Times New Roman" w:cs="Times New Roman"/>
          <w:szCs w:val="24"/>
          <w:lang w:eastAsia="es-ES"/>
        </w:rPr>
        <w:t xml:space="preserve"> de</w:t>
      </w:r>
      <w:r w:rsidR="00A61937" w:rsidRPr="001D6A99">
        <w:rPr>
          <w:rFonts w:eastAsia="Times New Roman" w:cs="Times New Roman"/>
          <w:szCs w:val="24"/>
          <w:lang w:eastAsia="es-ES"/>
        </w:rPr>
        <w:t xml:space="preserve"> la tasa técnica </w:t>
      </w:r>
      <w:r w:rsidR="001D6A99">
        <w:rPr>
          <w:rFonts w:eastAsia="Times New Roman" w:cs="Times New Roman"/>
          <w:szCs w:val="24"/>
          <w:lang w:eastAsia="es-ES"/>
        </w:rPr>
        <w:t>establecida en e</w:t>
      </w:r>
      <w:r w:rsidR="00C6349C" w:rsidRPr="001D6A99">
        <w:rPr>
          <w:rFonts w:eastAsia="Times New Roman" w:cs="Times New Roman"/>
          <w:szCs w:val="24"/>
          <w:lang w:eastAsia="es-ES"/>
        </w:rPr>
        <w:t xml:space="preserve">l </w:t>
      </w:r>
      <w:r w:rsidR="00542579" w:rsidRPr="001D6A99">
        <w:rPr>
          <w:rFonts w:eastAsia="Times New Roman" w:cs="Times New Roman"/>
          <w:szCs w:val="24"/>
          <w:lang w:eastAsia="es-ES"/>
        </w:rPr>
        <w:t>artículo</w:t>
      </w:r>
      <w:r w:rsidR="00C6349C" w:rsidRPr="001D6A99">
        <w:rPr>
          <w:rFonts w:eastAsia="Times New Roman" w:cs="Times New Roman"/>
          <w:szCs w:val="24"/>
          <w:lang w:eastAsia="es-ES"/>
        </w:rPr>
        <w:t xml:space="preserve"> 1 del acuerdo </w:t>
      </w:r>
      <w:r w:rsidR="00C6349C" w:rsidRPr="001D6A99">
        <w:rPr>
          <w:rFonts w:eastAsia="Times New Roman" w:cs="Times New Roman"/>
          <w:i/>
          <w:iCs/>
          <w:szCs w:val="24"/>
          <w:lang w:eastAsia="es-ES"/>
        </w:rPr>
        <w:t>SP-A-141-2010</w:t>
      </w:r>
      <w:r w:rsidR="00C6349C" w:rsidRPr="001D6A99">
        <w:rPr>
          <w:rFonts w:eastAsia="Times New Roman" w:cs="Times New Roman"/>
          <w:szCs w:val="24"/>
          <w:lang w:eastAsia="es-ES"/>
        </w:rPr>
        <w:t xml:space="preserve">, </w:t>
      </w:r>
      <w:r w:rsidR="00542579" w:rsidRPr="001D6A99">
        <w:rPr>
          <w:rFonts w:eastAsia="Times New Roman" w:cs="Times New Roman"/>
          <w:szCs w:val="24"/>
          <w:lang w:eastAsia="es-ES"/>
        </w:rPr>
        <w:t>en los término</w:t>
      </w:r>
      <w:r w:rsidR="003E273F" w:rsidRPr="001D6A99">
        <w:rPr>
          <w:rFonts w:eastAsia="Times New Roman" w:cs="Times New Roman"/>
          <w:szCs w:val="24"/>
          <w:lang w:eastAsia="es-ES"/>
        </w:rPr>
        <w:t>s</w:t>
      </w:r>
      <w:r w:rsidR="00542579" w:rsidRPr="001D6A99">
        <w:rPr>
          <w:rFonts w:eastAsia="Times New Roman" w:cs="Times New Roman"/>
          <w:szCs w:val="24"/>
          <w:lang w:eastAsia="es-ES"/>
        </w:rPr>
        <w:t xml:space="preserve"> antes indicados, reviste un claro interés público, dado que </w:t>
      </w:r>
      <w:r w:rsidR="003E273F" w:rsidRPr="001D6A99">
        <w:rPr>
          <w:rFonts w:eastAsia="Times New Roman" w:cs="Times New Roman"/>
          <w:szCs w:val="24"/>
          <w:lang w:eastAsia="es-ES"/>
        </w:rPr>
        <w:t>afecta</w:t>
      </w:r>
      <w:r w:rsidR="00632D50">
        <w:rPr>
          <w:rFonts w:eastAsia="Times New Roman" w:cs="Times New Roman"/>
          <w:szCs w:val="24"/>
          <w:lang w:eastAsia="es-ES"/>
        </w:rPr>
        <w:t>,</w:t>
      </w:r>
      <w:r w:rsidR="003E273F" w:rsidRPr="001D6A99">
        <w:rPr>
          <w:rFonts w:eastAsia="Times New Roman" w:cs="Times New Roman"/>
          <w:szCs w:val="24"/>
          <w:lang w:eastAsia="es-ES"/>
        </w:rPr>
        <w:t xml:space="preserve"> </w:t>
      </w:r>
      <w:r w:rsidR="00542579" w:rsidRPr="001D6A99">
        <w:rPr>
          <w:rFonts w:eastAsia="Times New Roman" w:cs="Times New Roman"/>
          <w:szCs w:val="24"/>
          <w:lang w:eastAsia="es-ES"/>
        </w:rPr>
        <w:t>en forma directa</w:t>
      </w:r>
      <w:r w:rsidR="00632D50">
        <w:rPr>
          <w:rFonts w:eastAsia="Times New Roman" w:cs="Times New Roman"/>
          <w:szCs w:val="24"/>
          <w:lang w:eastAsia="es-ES"/>
        </w:rPr>
        <w:t>,</w:t>
      </w:r>
      <w:r w:rsidR="00320157" w:rsidRPr="001D6A99">
        <w:rPr>
          <w:rFonts w:eastAsia="Times New Roman" w:cs="Times New Roman"/>
          <w:szCs w:val="24"/>
          <w:lang w:eastAsia="es-ES"/>
        </w:rPr>
        <w:t xml:space="preserve"> los pagos de pensión</w:t>
      </w:r>
      <w:r w:rsidR="0053192F">
        <w:rPr>
          <w:rFonts w:eastAsia="Times New Roman" w:cs="Times New Roman"/>
          <w:szCs w:val="24"/>
          <w:lang w:eastAsia="es-ES"/>
        </w:rPr>
        <w:t xml:space="preserve"> </w:t>
      </w:r>
      <w:r w:rsidR="00237717">
        <w:rPr>
          <w:rFonts w:eastAsia="Times New Roman" w:cs="Times New Roman"/>
          <w:szCs w:val="24"/>
          <w:lang w:eastAsia="es-ES"/>
        </w:rPr>
        <w:t xml:space="preserve">derivados de los productos de beneficio que la </w:t>
      </w:r>
      <w:r w:rsidR="0053192F">
        <w:rPr>
          <w:rFonts w:eastAsia="Times New Roman" w:cs="Times New Roman"/>
          <w:szCs w:val="24"/>
          <w:lang w:eastAsia="es-ES"/>
        </w:rPr>
        <w:t>utilizan</w:t>
      </w:r>
      <w:r w:rsidR="00FC0936">
        <w:rPr>
          <w:rFonts w:eastAsia="Times New Roman" w:cs="Times New Roman"/>
          <w:szCs w:val="24"/>
          <w:lang w:eastAsia="es-ES"/>
        </w:rPr>
        <w:t xml:space="preserve"> </w:t>
      </w:r>
      <w:r w:rsidR="0053192F">
        <w:rPr>
          <w:rFonts w:eastAsia="Times New Roman" w:cs="Times New Roman"/>
          <w:szCs w:val="24"/>
          <w:lang w:eastAsia="es-ES"/>
        </w:rPr>
        <w:t>para la determinación de los correspondientes montos</w:t>
      </w:r>
      <w:r w:rsidR="00FC0936">
        <w:rPr>
          <w:rFonts w:eastAsia="Times New Roman" w:cs="Times New Roman"/>
          <w:szCs w:val="24"/>
          <w:lang w:eastAsia="es-ES"/>
        </w:rPr>
        <w:t xml:space="preserve"> a pagar</w:t>
      </w:r>
      <w:r w:rsidR="00632D50">
        <w:rPr>
          <w:rFonts w:eastAsia="Times New Roman" w:cs="Times New Roman"/>
          <w:szCs w:val="24"/>
          <w:lang w:eastAsia="es-ES"/>
        </w:rPr>
        <w:t xml:space="preserve">, los cuales </w:t>
      </w:r>
      <w:r w:rsidR="008F76E0">
        <w:rPr>
          <w:rFonts w:eastAsia="Times New Roman" w:cs="Times New Roman"/>
          <w:szCs w:val="24"/>
          <w:lang w:eastAsia="es-ES"/>
        </w:rPr>
        <w:t xml:space="preserve">se han visto </w:t>
      </w:r>
      <w:r w:rsidR="008D0C10" w:rsidRPr="001D6A99">
        <w:rPr>
          <w:rFonts w:eastAsia="Times New Roman" w:cs="Times New Roman"/>
          <w:szCs w:val="24"/>
          <w:lang w:eastAsia="es-ES"/>
        </w:rPr>
        <w:t>afectad</w:t>
      </w:r>
      <w:r w:rsidR="004D1EC0">
        <w:rPr>
          <w:rFonts w:eastAsia="Times New Roman" w:cs="Times New Roman"/>
          <w:szCs w:val="24"/>
          <w:lang w:eastAsia="es-ES"/>
        </w:rPr>
        <w:t>o</w:t>
      </w:r>
      <w:r w:rsidR="008D0C10" w:rsidRPr="001D6A99">
        <w:rPr>
          <w:rFonts w:eastAsia="Times New Roman" w:cs="Times New Roman"/>
          <w:szCs w:val="24"/>
          <w:lang w:eastAsia="es-ES"/>
        </w:rPr>
        <w:t xml:space="preserve">s </w:t>
      </w:r>
      <w:r w:rsidR="004D1EC0">
        <w:rPr>
          <w:rFonts w:eastAsia="Times New Roman" w:cs="Times New Roman"/>
          <w:szCs w:val="24"/>
          <w:lang w:eastAsia="es-ES"/>
        </w:rPr>
        <w:t xml:space="preserve">negativamente </w:t>
      </w:r>
      <w:r w:rsidR="008D0C10" w:rsidRPr="001D6A99">
        <w:rPr>
          <w:rFonts w:eastAsia="Times New Roman" w:cs="Times New Roman"/>
          <w:szCs w:val="24"/>
          <w:lang w:eastAsia="es-ES"/>
        </w:rPr>
        <w:t xml:space="preserve">por </w:t>
      </w:r>
      <w:r w:rsidR="00542579" w:rsidRPr="001D6A99">
        <w:rPr>
          <w:rFonts w:eastAsia="Times New Roman" w:cs="Times New Roman"/>
          <w:szCs w:val="24"/>
          <w:lang w:eastAsia="es-ES"/>
        </w:rPr>
        <w:t>las actuales circunstancias adversas que han estado atravesando los fondos</w:t>
      </w:r>
      <w:r w:rsidR="004D1EC0">
        <w:rPr>
          <w:rFonts w:eastAsia="Times New Roman" w:cs="Times New Roman"/>
          <w:szCs w:val="24"/>
          <w:lang w:eastAsia="es-ES"/>
        </w:rPr>
        <w:t>.</w:t>
      </w:r>
    </w:p>
    <w:p w14:paraId="231FAFD4" w14:textId="77777777" w:rsidR="004D1EC0" w:rsidRDefault="004D1EC0" w:rsidP="000B656F">
      <w:pPr>
        <w:pStyle w:val="Prrafodelista"/>
        <w:spacing w:line="240" w:lineRule="auto"/>
        <w:jc w:val="both"/>
        <w:rPr>
          <w:rFonts w:eastAsia="Times New Roman" w:cs="Times New Roman"/>
          <w:szCs w:val="24"/>
          <w:lang w:eastAsia="es-ES"/>
        </w:rPr>
      </w:pPr>
    </w:p>
    <w:p w14:paraId="49C4A058" w14:textId="5FA7D504" w:rsidR="00387A09" w:rsidRPr="000B656F" w:rsidRDefault="004D1EC0" w:rsidP="000B656F">
      <w:pPr>
        <w:pStyle w:val="Prrafodelista"/>
        <w:spacing w:line="240" w:lineRule="auto"/>
        <w:jc w:val="both"/>
        <w:rPr>
          <w:rFonts w:eastAsia="Times New Roman" w:cs="Times New Roman"/>
          <w:i/>
          <w:iCs/>
          <w:szCs w:val="24"/>
          <w:lang w:eastAsia="es-ES"/>
        </w:rPr>
      </w:pPr>
      <w:r>
        <w:rPr>
          <w:rFonts w:eastAsia="Times New Roman" w:cs="Times New Roman"/>
          <w:szCs w:val="24"/>
          <w:lang w:eastAsia="es-ES"/>
        </w:rPr>
        <w:t xml:space="preserve">Las anteriores </w:t>
      </w:r>
      <w:r w:rsidR="00542579" w:rsidRPr="001D6A99">
        <w:rPr>
          <w:rFonts w:eastAsia="Times New Roman" w:cs="Times New Roman"/>
          <w:szCs w:val="24"/>
          <w:lang w:eastAsia="es-ES"/>
        </w:rPr>
        <w:t xml:space="preserve">consideraciones dan fundamento </w:t>
      </w:r>
      <w:r w:rsidR="00B40BEC" w:rsidRPr="001D6A99">
        <w:rPr>
          <w:rFonts w:eastAsia="Times New Roman" w:cs="Times New Roman"/>
          <w:szCs w:val="24"/>
          <w:lang w:eastAsia="es-ES"/>
        </w:rPr>
        <w:t>a</w:t>
      </w:r>
      <w:r w:rsidR="00542579" w:rsidRPr="001D6A99">
        <w:rPr>
          <w:rFonts w:eastAsia="Times New Roman" w:cs="Times New Roman"/>
          <w:szCs w:val="24"/>
          <w:lang w:eastAsia="es-ES"/>
        </w:rPr>
        <w:t xml:space="preserve"> que se prescinda de la consulta a la que se refiere el artículo 361 de la </w:t>
      </w:r>
      <w:r w:rsidR="00542579" w:rsidRPr="00822402">
        <w:rPr>
          <w:rFonts w:eastAsia="Times New Roman" w:cs="Times New Roman"/>
          <w:i/>
          <w:iCs/>
          <w:szCs w:val="24"/>
          <w:lang w:eastAsia="es-ES"/>
        </w:rPr>
        <w:t>Ley General de la Administración Pública.</w:t>
      </w:r>
    </w:p>
    <w:p w14:paraId="0B30BD06" w14:textId="77777777" w:rsidR="00B40BEC" w:rsidRDefault="00B40BEC" w:rsidP="000575C3">
      <w:pPr>
        <w:pStyle w:val="Prrafodelista"/>
        <w:spacing w:line="240" w:lineRule="auto"/>
        <w:jc w:val="center"/>
        <w:rPr>
          <w:rFonts w:cs="Times New Roman"/>
          <w:b/>
          <w:bCs/>
          <w:szCs w:val="24"/>
        </w:rPr>
      </w:pPr>
    </w:p>
    <w:p w14:paraId="7B50129B" w14:textId="21C68FA1" w:rsidR="00B81A10" w:rsidRPr="00E312ED" w:rsidRDefault="00B81A10" w:rsidP="000575C3">
      <w:pPr>
        <w:pStyle w:val="Prrafodelista"/>
        <w:spacing w:line="240" w:lineRule="auto"/>
        <w:jc w:val="center"/>
        <w:rPr>
          <w:rFonts w:cs="Times New Roman"/>
          <w:b/>
          <w:bCs/>
          <w:szCs w:val="24"/>
        </w:rPr>
      </w:pPr>
      <w:r w:rsidRPr="00E312ED">
        <w:rPr>
          <w:rFonts w:cs="Times New Roman"/>
          <w:b/>
          <w:bCs/>
          <w:szCs w:val="24"/>
        </w:rPr>
        <w:t>POR TANTO:</w:t>
      </w:r>
    </w:p>
    <w:p w14:paraId="49E6BCB8" w14:textId="77777777" w:rsidR="00B81A10" w:rsidRPr="00E312ED" w:rsidRDefault="00B81A10" w:rsidP="000575C3">
      <w:pPr>
        <w:pStyle w:val="Prrafodelista"/>
        <w:spacing w:line="240" w:lineRule="auto"/>
        <w:jc w:val="both"/>
        <w:rPr>
          <w:rFonts w:cs="Times New Roman"/>
          <w:b/>
          <w:bCs/>
          <w:szCs w:val="24"/>
        </w:rPr>
      </w:pPr>
    </w:p>
    <w:p w14:paraId="33E2B4CA" w14:textId="6E43F9A6" w:rsidR="00B81A10" w:rsidRPr="00E312ED" w:rsidRDefault="00B57635" w:rsidP="000575C3">
      <w:pPr>
        <w:spacing w:line="240" w:lineRule="auto"/>
        <w:contextualSpacing/>
        <w:jc w:val="both"/>
        <w:rPr>
          <w:rFonts w:cs="Times New Roman"/>
          <w:szCs w:val="24"/>
        </w:rPr>
      </w:pPr>
      <w:r w:rsidRPr="00E312ED">
        <w:rPr>
          <w:rFonts w:cs="Times New Roman"/>
          <w:b/>
          <w:bCs/>
          <w:szCs w:val="24"/>
        </w:rPr>
        <w:t>Primero</w:t>
      </w:r>
      <w:r w:rsidR="00B92A86" w:rsidRPr="00E312ED">
        <w:rPr>
          <w:rFonts w:cs="Times New Roman"/>
          <w:b/>
          <w:bCs/>
          <w:szCs w:val="24"/>
        </w:rPr>
        <w:t>:</w:t>
      </w:r>
      <w:r w:rsidRPr="00E312ED">
        <w:rPr>
          <w:rFonts w:cs="Times New Roman"/>
          <w:szCs w:val="24"/>
        </w:rPr>
        <w:t xml:space="preserve"> </w:t>
      </w:r>
      <w:r w:rsidR="00B81A10" w:rsidRPr="00E312ED">
        <w:rPr>
          <w:rFonts w:cs="Times New Roman"/>
          <w:szCs w:val="24"/>
        </w:rPr>
        <w:t xml:space="preserve">Se </w:t>
      </w:r>
      <w:r w:rsidR="00A120AD" w:rsidRPr="00E312ED">
        <w:rPr>
          <w:rFonts w:cs="Times New Roman"/>
          <w:szCs w:val="24"/>
        </w:rPr>
        <w:t>refor</w:t>
      </w:r>
      <w:r w:rsidR="001D3C60">
        <w:rPr>
          <w:rFonts w:cs="Times New Roman"/>
          <w:szCs w:val="24"/>
        </w:rPr>
        <w:t xml:space="preserve">ma el </w:t>
      </w:r>
      <w:r w:rsidR="00A120AD" w:rsidRPr="00E312ED">
        <w:rPr>
          <w:rFonts w:cs="Times New Roman"/>
          <w:szCs w:val="24"/>
        </w:rPr>
        <w:t xml:space="preserve">artículo </w:t>
      </w:r>
      <w:r w:rsidR="001D3C60" w:rsidRPr="00701722">
        <w:rPr>
          <w:rFonts w:cs="Times New Roman"/>
          <w:szCs w:val="24"/>
        </w:rPr>
        <w:t>1</w:t>
      </w:r>
      <w:r w:rsidR="00E75AF5" w:rsidRPr="00E312ED">
        <w:rPr>
          <w:rFonts w:cs="Times New Roman"/>
          <w:szCs w:val="24"/>
        </w:rPr>
        <w:t xml:space="preserve"> </w:t>
      </w:r>
      <w:r w:rsidR="00A120AD" w:rsidRPr="00E312ED">
        <w:rPr>
          <w:rFonts w:cs="Times New Roman"/>
          <w:szCs w:val="24"/>
        </w:rPr>
        <w:t xml:space="preserve">del acuerdo </w:t>
      </w:r>
      <w:r w:rsidR="00A120AD" w:rsidRPr="00E312ED">
        <w:rPr>
          <w:rFonts w:cs="Times New Roman"/>
          <w:i/>
          <w:iCs/>
          <w:szCs w:val="24"/>
        </w:rPr>
        <w:t>SP-A-141-2010, de las once horas del treinta de abril de 2010</w:t>
      </w:r>
      <w:r w:rsidR="00B81A10" w:rsidRPr="00E312ED">
        <w:rPr>
          <w:rFonts w:cs="Times New Roman"/>
          <w:szCs w:val="24"/>
        </w:rPr>
        <w:t xml:space="preserve">, para que, </w:t>
      </w:r>
      <w:r w:rsidR="00EE19E0">
        <w:rPr>
          <w:rFonts w:cs="Times New Roman"/>
          <w:szCs w:val="24"/>
        </w:rPr>
        <w:t xml:space="preserve">en lo sucesivo, se </w:t>
      </w:r>
      <w:r w:rsidR="00B81A10" w:rsidRPr="00E312ED">
        <w:rPr>
          <w:rFonts w:cs="Times New Roman"/>
          <w:szCs w:val="24"/>
        </w:rPr>
        <w:t>lea de la siguiente forma:</w:t>
      </w:r>
    </w:p>
    <w:p w14:paraId="44743EF6" w14:textId="77777777" w:rsidR="003F0F3A" w:rsidRPr="00E312ED" w:rsidRDefault="003F0F3A" w:rsidP="000575C3">
      <w:pPr>
        <w:spacing w:line="240" w:lineRule="auto"/>
        <w:contextualSpacing/>
        <w:jc w:val="both"/>
        <w:rPr>
          <w:rFonts w:cs="Times New Roman"/>
          <w:szCs w:val="24"/>
        </w:rPr>
      </w:pPr>
    </w:p>
    <w:p w14:paraId="47CC0E20" w14:textId="4D5888CA" w:rsidR="000D2314" w:rsidRPr="000D2314" w:rsidRDefault="000F0254" w:rsidP="000575C3">
      <w:pPr>
        <w:spacing w:line="240" w:lineRule="auto"/>
        <w:contextualSpacing/>
        <w:jc w:val="both"/>
        <w:rPr>
          <w:rFonts w:cs="Times New Roman"/>
          <w:b/>
          <w:bCs/>
          <w:szCs w:val="24"/>
        </w:rPr>
      </w:pPr>
      <w:r w:rsidRPr="00E312ED">
        <w:rPr>
          <w:rFonts w:cs="Times New Roman"/>
          <w:szCs w:val="24"/>
        </w:rPr>
        <w:t>“</w:t>
      </w:r>
      <w:r w:rsidR="000D2314" w:rsidRPr="000D2314">
        <w:rPr>
          <w:rFonts w:cs="Times New Roman"/>
          <w:b/>
          <w:bCs/>
          <w:szCs w:val="24"/>
        </w:rPr>
        <w:t>Artículo 1. Tasa técnica de interés para el Retiro Programado</w:t>
      </w:r>
    </w:p>
    <w:p w14:paraId="7A46B205" w14:textId="77777777" w:rsidR="000D2314" w:rsidRDefault="000D2314" w:rsidP="000575C3">
      <w:pPr>
        <w:spacing w:line="240" w:lineRule="auto"/>
        <w:contextualSpacing/>
        <w:jc w:val="both"/>
        <w:rPr>
          <w:rFonts w:cs="Times New Roman"/>
          <w:szCs w:val="24"/>
        </w:rPr>
      </w:pPr>
    </w:p>
    <w:p w14:paraId="2C474EBA" w14:textId="070A7A41" w:rsidR="00F2629B" w:rsidRPr="00F2629B" w:rsidRDefault="00F2629B" w:rsidP="00F2629B">
      <w:pPr>
        <w:spacing w:line="240" w:lineRule="auto"/>
        <w:contextualSpacing/>
        <w:jc w:val="both"/>
        <w:rPr>
          <w:rFonts w:cs="Times New Roman"/>
          <w:i/>
          <w:iCs/>
          <w:szCs w:val="24"/>
        </w:rPr>
      </w:pPr>
      <w:r w:rsidRPr="00F2629B">
        <w:rPr>
          <w:rFonts w:cs="Times New Roman"/>
          <w:i/>
          <w:iCs/>
          <w:szCs w:val="24"/>
        </w:rPr>
        <w:t xml:space="preserve">La tasa técnica de interés utilizará como referencia para su cálculo la tasa de crecimiento potencial de la economía local.  </w:t>
      </w:r>
      <w:r w:rsidR="00BC5198">
        <w:rPr>
          <w:rFonts w:cs="Times New Roman"/>
          <w:i/>
          <w:iCs/>
          <w:szCs w:val="24"/>
        </w:rPr>
        <w:t xml:space="preserve"> </w:t>
      </w:r>
    </w:p>
    <w:p w14:paraId="46A40884" w14:textId="77777777" w:rsidR="00F2629B" w:rsidRPr="00F2629B" w:rsidRDefault="00F2629B" w:rsidP="00F2629B">
      <w:pPr>
        <w:spacing w:line="240" w:lineRule="auto"/>
        <w:contextualSpacing/>
        <w:jc w:val="both"/>
        <w:rPr>
          <w:rFonts w:cs="Times New Roman"/>
          <w:i/>
          <w:iCs/>
          <w:szCs w:val="24"/>
        </w:rPr>
      </w:pPr>
    </w:p>
    <w:p w14:paraId="1DE78CB7" w14:textId="27A50D6E" w:rsidR="00F2629B" w:rsidRPr="00F2629B" w:rsidRDefault="00F2629B" w:rsidP="00F2629B">
      <w:pPr>
        <w:spacing w:line="240" w:lineRule="auto"/>
        <w:contextualSpacing/>
        <w:jc w:val="both"/>
        <w:rPr>
          <w:rFonts w:cs="Times New Roman"/>
          <w:i/>
          <w:iCs/>
          <w:szCs w:val="24"/>
        </w:rPr>
      </w:pPr>
      <w:r w:rsidRPr="00F2629B">
        <w:rPr>
          <w:rFonts w:cs="Times New Roman"/>
          <w:i/>
          <w:iCs/>
          <w:szCs w:val="24"/>
        </w:rPr>
        <w:t>Se utilizará, para calcular el valor presente actuarial de una unidad de pensión, el 3</w:t>
      </w:r>
      <w:r>
        <w:rPr>
          <w:rFonts w:cs="Times New Roman"/>
          <w:i/>
          <w:iCs/>
          <w:szCs w:val="24"/>
        </w:rPr>
        <w:t>,6</w:t>
      </w:r>
      <w:r w:rsidRPr="00F2629B">
        <w:rPr>
          <w:rFonts w:cs="Times New Roman"/>
          <w:i/>
          <w:iCs/>
          <w:szCs w:val="24"/>
        </w:rPr>
        <w:t xml:space="preserve">% anual, en términos reales, tanto para los fondos denominados en colones como para aquellos en dólares de los Estados Unidos de América. </w:t>
      </w:r>
      <w:r w:rsidR="004E711B">
        <w:rPr>
          <w:rFonts w:cs="Times New Roman"/>
          <w:i/>
          <w:iCs/>
          <w:szCs w:val="24"/>
        </w:rPr>
        <w:t xml:space="preserve"> </w:t>
      </w:r>
    </w:p>
    <w:p w14:paraId="570E1D60" w14:textId="77777777" w:rsidR="00F2629B" w:rsidRPr="00F2629B" w:rsidRDefault="00F2629B" w:rsidP="00F2629B">
      <w:pPr>
        <w:spacing w:line="240" w:lineRule="auto"/>
        <w:contextualSpacing/>
        <w:jc w:val="both"/>
        <w:rPr>
          <w:rFonts w:cs="Times New Roman"/>
          <w:i/>
          <w:iCs/>
          <w:szCs w:val="24"/>
        </w:rPr>
      </w:pPr>
    </w:p>
    <w:p w14:paraId="5BDB3A7E" w14:textId="36C0A392" w:rsidR="00AE603D" w:rsidRPr="00F2629B" w:rsidRDefault="00F2629B" w:rsidP="000575C3">
      <w:pPr>
        <w:spacing w:line="240" w:lineRule="auto"/>
        <w:contextualSpacing/>
        <w:jc w:val="both"/>
        <w:rPr>
          <w:rFonts w:cs="Times New Roman"/>
          <w:szCs w:val="24"/>
        </w:rPr>
      </w:pPr>
      <w:r w:rsidRPr="00F2629B">
        <w:rPr>
          <w:rFonts w:cs="Times New Roman"/>
          <w:i/>
          <w:iCs/>
          <w:szCs w:val="24"/>
        </w:rPr>
        <w:t>Esta tasa está sujeta a revisión periódica y sus modificaciones serán así informadas mediante Acuerdo del Superintendente de Pensiones</w:t>
      </w:r>
      <w:r w:rsidR="000D2314" w:rsidRPr="003A3E32">
        <w:rPr>
          <w:rFonts w:cs="Times New Roman"/>
          <w:i/>
          <w:iCs/>
          <w:szCs w:val="24"/>
        </w:rPr>
        <w:t>.”</w:t>
      </w:r>
    </w:p>
    <w:p w14:paraId="7F08245B" w14:textId="77777777" w:rsidR="00DF5603" w:rsidRPr="001B17FD" w:rsidRDefault="00DF5603" w:rsidP="000575C3">
      <w:pPr>
        <w:spacing w:line="240" w:lineRule="auto"/>
        <w:contextualSpacing/>
        <w:jc w:val="both"/>
        <w:rPr>
          <w:rFonts w:cs="Times New Roman"/>
          <w:b/>
          <w:bCs/>
          <w:szCs w:val="24"/>
        </w:rPr>
      </w:pPr>
    </w:p>
    <w:p w14:paraId="2B3DDB44" w14:textId="6615D4B2" w:rsidR="00B04D6E" w:rsidRPr="001B17FD" w:rsidRDefault="00B04D6E" w:rsidP="000575C3">
      <w:pPr>
        <w:spacing w:line="240" w:lineRule="auto"/>
        <w:contextualSpacing/>
        <w:jc w:val="both"/>
        <w:rPr>
          <w:rFonts w:cs="Times New Roman"/>
          <w:b/>
          <w:bCs/>
          <w:szCs w:val="24"/>
        </w:rPr>
      </w:pPr>
      <w:r w:rsidRPr="001B17FD">
        <w:rPr>
          <w:rFonts w:cs="Times New Roman"/>
          <w:b/>
          <w:bCs/>
          <w:szCs w:val="24"/>
        </w:rPr>
        <w:t>Transitorio.</w:t>
      </w:r>
    </w:p>
    <w:p w14:paraId="4DED284F" w14:textId="77777777" w:rsidR="00606FA4" w:rsidRPr="001B17FD" w:rsidRDefault="00606FA4" w:rsidP="000575C3">
      <w:pPr>
        <w:spacing w:line="240" w:lineRule="auto"/>
        <w:contextualSpacing/>
        <w:jc w:val="both"/>
        <w:rPr>
          <w:rFonts w:cs="Times New Roman"/>
          <w:i/>
          <w:iCs/>
          <w:szCs w:val="24"/>
        </w:rPr>
      </w:pPr>
    </w:p>
    <w:p w14:paraId="1170F915" w14:textId="22DE6953" w:rsidR="00606FA4" w:rsidRPr="00606FA4" w:rsidRDefault="00606FA4" w:rsidP="00606FA4">
      <w:pPr>
        <w:spacing w:line="240" w:lineRule="auto"/>
        <w:contextualSpacing/>
        <w:jc w:val="both"/>
        <w:rPr>
          <w:rFonts w:cs="Times New Roman"/>
          <w:i/>
          <w:iCs/>
          <w:szCs w:val="24"/>
        </w:rPr>
      </w:pPr>
      <w:r w:rsidRPr="004E711B">
        <w:rPr>
          <w:rFonts w:cs="Times New Roman"/>
          <w:i/>
          <w:iCs/>
          <w:szCs w:val="24"/>
        </w:rPr>
        <w:t xml:space="preserve">Los pensionados que al momento en que entre en vigencia la reforma al artículo 1 de este </w:t>
      </w:r>
      <w:r w:rsidR="00A24154" w:rsidRPr="004E711B">
        <w:rPr>
          <w:rFonts w:cs="Times New Roman"/>
          <w:i/>
          <w:iCs/>
          <w:szCs w:val="24"/>
        </w:rPr>
        <w:t xml:space="preserve">acuerdo </w:t>
      </w:r>
      <w:r w:rsidRPr="004E711B">
        <w:rPr>
          <w:rFonts w:cs="Times New Roman"/>
          <w:i/>
          <w:iCs/>
          <w:szCs w:val="24"/>
        </w:rPr>
        <w:t>se encuentren disfrutando de una pensión</w:t>
      </w:r>
      <w:r w:rsidR="00BA0070" w:rsidRPr="004E711B">
        <w:rPr>
          <w:rFonts w:cs="Times New Roman"/>
          <w:i/>
          <w:iCs/>
          <w:szCs w:val="24"/>
        </w:rPr>
        <w:t xml:space="preserve"> que utilice, para </w:t>
      </w:r>
      <w:r w:rsidR="004C5F2D" w:rsidRPr="004E711B">
        <w:rPr>
          <w:rFonts w:cs="Times New Roman"/>
          <w:i/>
          <w:iCs/>
          <w:szCs w:val="24"/>
        </w:rPr>
        <w:t>su</w:t>
      </w:r>
      <w:r w:rsidR="00BA0070" w:rsidRPr="004E711B">
        <w:rPr>
          <w:rFonts w:cs="Times New Roman"/>
          <w:i/>
          <w:iCs/>
          <w:szCs w:val="24"/>
        </w:rPr>
        <w:t xml:space="preserve"> cálculo</w:t>
      </w:r>
      <w:r w:rsidR="00A9301E" w:rsidRPr="004E711B">
        <w:rPr>
          <w:rFonts w:cs="Times New Roman"/>
          <w:i/>
          <w:iCs/>
          <w:szCs w:val="24"/>
        </w:rPr>
        <w:t>,</w:t>
      </w:r>
      <w:r w:rsidR="00A32E34" w:rsidRPr="004E711B">
        <w:rPr>
          <w:rFonts w:cs="Times New Roman"/>
          <w:i/>
          <w:iCs/>
          <w:szCs w:val="24"/>
        </w:rPr>
        <w:t xml:space="preserve"> la tasa técnica del 3%</w:t>
      </w:r>
      <w:r w:rsidRPr="004E711B">
        <w:rPr>
          <w:rFonts w:cs="Times New Roman"/>
          <w:i/>
          <w:iCs/>
          <w:szCs w:val="24"/>
        </w:rPr>
        <w:t xml:space="preserve">, </w:t>
      </w:r>
      <w:r w:rsidR="00A32E34" w:rsidRPr="004E711B">
        <w:rPr>
          <w:rFonts w:cs="Times New Roman"/>
          <w:i/>
          <w:iCs/>
          <w:szCs w:val="24"/>
        </w:rPr>
        <w:t xml:space="preserve">anteriormente vigente, </w:t>
      </w:r>
      <w:r w:rsidRPr="004E711B">
        <w:rPr>
          <w:rFonts w:cs="Times New Roman"/>
          <w:i/>
          <w:iCs/>
          <w:szCs w:val="24"/>
        </w:rPr>
        <w:t xml:space="preserve">podrán solicitar a la operadora donde se encuentren afiliados el recálculo de la pensión a pagar, </w:t>
      </w:r>
      <w:r w:rsidR="00D067AA" w:rsidRPr="004E711B">
        <w:rPr>
          <w:rFonts w:cs="Times New Roman"/>
          <w:i/>
          <w:iCs/>
          <w:szCs w:val="24"/>
        </w:rPr>
        <w:t>con la nueva tasa técnica establecida en el artículo 1.</w:t>
      </w:r>
      <w:r w:rsidRPr="004E711B">
        <w:rPr>
          <w:rFonts w:cs="Times New Roman"/>
          <w:i/>
          <w:iCs/>
          <w:szCs w:val="24"/>
        </w:rPr>
        <w:t xml:space="preserve"> Las operadoras deberán</w:t>
      </w:r>
      <w:r w:rsidRPr="00606FA4">
        <w:rPr>
          <w:rFonts w:cs="Times New Roman"/>
          <w:i/>
          <w:iCs/>
          <w:szCs w:val="24"/>
        </w:rPr>
        <w:t xml:space="preserve"> comunicar de lo anterior a los pensionados que hayan </w:t>
      </w:r>
      <w:r w:rsidRPr="00606FA4">
        <w:rPr>
          <w:rFonts w:cs="Times New Roman"/>
          <w:i/>
          <w:iCs/>
          <w:szCs w:val="24"/>
        </w:rPr>
        <w:lastRenderedPageBreak/>
        <w:t xml:space="preserve">adquirido </w:t>
      </w:r>
      <w:r w:rsidR="002D731A">
        <w:rPr>
          <w:rFonts w:cs="Times New Roman"/>
          <w:i/>
          <w:iCs/>
          <w:szCs w:val="24"/>
        </w:rPr>
        <w:t>dichos productos</w:t>
      </w:r>
      <w:r w:rsidR="004934D3">
        <w:rPr>
          <w:rFonts w:cs="Times New Roman"/>
          <w:i/>
          <w:iCs/>
          <w:szCs w:val="24"/>
        </w:rPr>
        <w:t xml:space="preserve"> </w:t>
      </w:r>
      <w:r w:rsidRPr="00606FA4">
        <w:rPr>
          <w:rFonts w:cs="Times New Roman"/>
          <w:i/>
          <w:iCs/>
          <w:szCs w:val="24"/>
        </w:rPr>
        <w:t>para que puedan realizar la solicitud de recálculo, si así fuere su voluntad.</w:t>
      </w:r>
    </w:p>
    <w:p w14:paraId="46D0E087" w14:textId="77777777" w:rsidR="00606FA4" w:rsidRPr="00606FA4" w:rsidRDefault="00606FA4" w:rsidP="00606FA4">
      <w:pPr>
        <w:spacing w:line="240" w:lineRule="auto"/>
        <w:contextualSpacing/>
        <w:jc w:val="both"/>
        <w:rPr>
          <w:rFonts w:cs="Times New Roman"/>
          <w:i/>
          <w:iCs/>
          <w:szCs w:val="24"/>
        </w:rPr>
      </w:pPr>
    </w:p>
    <w:p w14:paraId="539C98EA" w14:textId="016E5AE1" w:rsidR="00B04D6E" w:rsidRDefault="005803BB" w:rsidP="000575C3">
      <w:pPr>
        <w:spacing w:line="240" w:lineRule="auto"/>
        <w:contextualSpacing/>
        <w:jc w:val="both"/>
        <w:rPr>
          <w:rFonts w:cs="Times New Roman"/>
          <w:i/>
          <w:iCs/>
          <w:szCs w:val="24"/>
        </w:rPr>
      </w:pPr>
      <w:r>
        <w:rPr>
          <w:rFonts w:cs="Times New Roman"/>
          <w:i/>
          <w:iCs/>
          <w:szCs w:val="24"/>
        </w:rPr>
        <w:t xml:space="preserve">El </w:t>
      </w:r>
      <w:r w:rsidR="007A507D" w:rsidRPr="00BF5CF0">
        <w:rPr>
          <w:rFonts w:cs="Times New Roman"/>
          <w:i/>
          <w:iCs/>
          <w:szCs w:val="24"/>
        </w:rPr>
        <w:t>recálcul</w:t>
      </w:r>
      <w:r>
        <w:rPr>
          <w:rFonts w:cs="Times New Roman"/>
          <w:i/>
          <w:iCs/>
          <w:szCs w:val="24"/>
        </w:rPr>
        <w:t>o</w:t>
      </w:r>
      <w:r w:rsidR="007A507D" w:rsidRPr="00BF5CF0">
        <w:rPr>
          <w:rFonts w:cs="Times New Roman"/>
          <w:i/>
          <w:iCs/>
          <w:szCs w:val="24"/>
        </w:rPr>
        <w:t xml:space="preserve"> no dará derecho al cambio de modalidad</w:t>
      </w:r>
      <w:r w:rsidR="008C207A" w:rsidRPr="00BF5CF0">
        <w:rPr>
          <w:rFonts w:cs="Times New Roman"/>
          <w:i/>
          <w:iCs/>
          <w:szCs w:val="24"/>
        </w:rPr>
        <w:t xml:space="preserve"> indicado en el artículo </w:t>
      </w:r>
      <w:r w:rsidR="00E61A61" w:rsidRPr="00BF5CF0">
        <w:rPr>
          <w:rFonts w:cs="Times New Roman"/>
          <w:i/>
          <w:iCs/>
          <w:szCs w:val="24"/>
        </w:rPr>
        <w:t>3 de este acuerdo</w:t>
      </w:r>
      <w:r w:rsidR="00833531" w:rsidRPr="00BF5CF0">
        <w:rPr>
          <w:rFonts w:cs="Times New Roman"/>
          <w:i/>
          <w:iCs/>
          <w:szCs w:val="24"/>
        </w:rPr>
        <w:t xml:space="preserve"> y </w:t>
      </w:r>
      <w:r w:rsidR="00040A6B">
        <w:rPr>
          <w:rFonts w:cs="Times New Roman"/>
          <w:i/>
          <w:iCs/>
          <w:szCs w:val="24"/>
        </w:rPr>
        <w:t>tampoco</w:t>
      </w:r>
      <w:r w:rsidR="00833531" w:rsidRPr="00BF5CF0">
        <w:rPr>
          <w:rFonts w:cs="Times New Roman"/>
          <w:i/>
          <w:iCs/>
          <w:szCs w:val="24"/>
        </w:rPr>
        <w:t xml:space="preserve"> interrumpirá el plazo de </w:t>
      </w:r>
      <w:r w:rsidR="00122F70" w:rsidRPr="00BF5CF0">
        <w:rPr>
          <w:rFonts w:cs="Times New Roman"/>
          <w:i/>
          <w:iCs/>
          <w:szCs w:val="24"/>
        </w:rPr>
        <w:t xml:space="preserve">un año </w:t>
      </w:r>
      <w:r w:rsidR="00C520E2" w:rsidRPr="00BF5CF0">
        <w:rPr>
          <w:rFonts w:cs="Times New Roman"/>
          <w:i/>
          <w:iCs/>
          <w:szCs w:val="24"/>
        </w:rPr>
        <w:t>indicado en el artículo 14</w:t>
      </w:r>
      <w:r w:rsidR="004934D3">
        <w:rPr>
          <w:rFonts w:cs="Times New Roman"/>
          <w:i/>
          <w:iCs/>
          <w:szCs w:val="24"/>
        </w:rPr>
        <w:t xml:space="preserve">, </w:t>
      </w:r>
      <w:r w:rsidR="00F80B60" w:rsidRPr="00BF5CF0">
        <w:rPr>
          <w:rFonts w:cs="Times New Roman"/>
          <w:i/>
          <w:iCs/>
          <w:szCs w:val="24"/>
        </w:rPr>
        <w:t xml:space="preserve">cumplido el cual, el afiliado podrá cambiar de modalidad de </w:t>
      </w:r>
      <w:r w:rsidR="00AC11AA" w:rsidRPr="00BF5CF0">
        <w:rPr>
          <w:rFonts w:cs="Times New Roman"/>
          <w:i/>
          <w:iCs/>
          <w:szCs w:val="24"/>
        </w:rPr>
        <w:t>pensión</w:t>
      </w:r>
      <w:r w:rsidR="005F3F5E" w:rsidRPr="00BF5CF0">
        <w:rPr>
          <w:rFonts w:cs="Times New Roman"/>
          <w:i/>
          <w:iCs/>
          <w:szCs w:val="24"/>
        </w:rPr>
        <w:t xml:space="preserve">, </w:t>
      </w:r>
      <w:r w:rsidR="0014613A">
        <w:rPr>
          <w:rFonts w:cs="Times New Roman"/>
          <w:i/>
          <w:iCs/>
          <w:szCs w:val="24"/>
        </w:rPr>
        <w:t>según</w:t>
      </w:r>
      <w:r w:rsidR="005F3F5E" w:rsidRPr="00BF5CF0">
        <w:rPr>
          <w:rFonts w:cs="Times New Roman"/>
          <w:i/>
          <w:iCs/>
          <w:szCs w:val="24"/>
        </w:rPr>
        <w:t xml:space="preserve"> </w:t>
      </w:r>
      <w:r w:rsidR="006B5F18">
        <w:rPr>
          <w:rFonts w:cs="Times New Roman"/>
          <w:i/>
          <w:iCs/>
          <w:szCs w:val="24"/>
        </w:rPr>
        <w:t xml:space="preserve">señala </w:t>
      </w:r>
      <w:r w:rsidR="005F3F5E" w:rsidRPr="00BF5CF0">
        <w:rPr>
          <w:rFonts w:cs="Times New Roman"/>
          <w:i/>
          <w:iCs/>
          <w:szCs w:val="24"/>
        </w:rPr>
        <w:t xml:space="preserve">el inciso </w:t>
      </w:r>
      <w:r w:rsidR="00514776" w:rsidRPr="00BF5CF0">
        <w:rPr>
          <w:rFonts w:cs="Times New Roman"/>
          <w:i/>
          <w:iCs/>
          <w:szCs w:val="24"/>
        </w:rPr>
        <w:t xml:space="preserve">3 del artículo </w:t>
      </w:r>
      <w:r w:rsidR="008F3757" w:rsidRPr="00BF5CF0">
        <w:rPr>
          <w:rFonts w:cs="Times New Roman"/>
          <w:i/>
          <w:iCs/>
          <w:szCs w:val="24"/>
        </w:rPr>
        <w:t>47 del Reglamento de beneficios del régimen de capitalización individual.</w:t>
      </w:r>
      <w:r w:rsidR="006E0B05">
        <w:rPr>
          <w:rFonts w:cs="Times New Roman"/>
          <w:i/>
          <w:iCs/>
          <w:szCs w:val="24"/>
        </w:rPr>
        <w:t xml:space="preserve"> </w:t>
      </w:r>
    </w:p>
    <w:p w14:paraId="11BC790C" w14:textId="77777777" w:rsidR="00612CB0" w:rsidRDefault="00612CB0" w:rsidP="000575C3">
      <w:pPr>
        <w:spacing w:line="240" w:lineRule="auto"/>
        <w:contextualSpacing/>
        <w:jc w:val="both"/>
        <w:rPr>
          <w:rFonts w:cs="Times New Roman"/>
          <w:b/>
          <w:bCs/>
          <w:szCs w:val="24"/>
        </w:rPr>
      </w:pPr>
    </w:p>
    <w:p w14:paraId="103F555B" w14:textId="31298729" w:rsidR="00531C8F" w:rsidRDefault="00443956" w:rsidP="000575C3">
      <w:pPr>
        <w:spacing w:line="240" w:lineRule="auto"/>
        <w:contextualSpacing/>
        <w:jc w:val="both"/>
        <w:rPr>
          <w:rFonts w:cs="Times New Roman"/>
          <w:b/>
          <w:bCs/>
          <w:szCs w:val="24"/>
        </w:rPr>
      </w:pPr>
      <w:r w:rsidRPr="00C96D76">
        <w:rPr>
          <w:rFonts w:cs="Times New Roman"/>
          <w:b/>
          <w:bCs/>
          <w:szCs w:val="24"/>
        </w:rPr>
        <w:t>Vigencia</w:t>
      </w:r>
      <w:r w:rsidR="00531C8F">
        <w:rPr>
          <w:rFonts w:cs="Times New Roman"/>
          <w:b/>
          <w:bCs/>
          <w:szCs w:val="24"/>
        </w:rPr>
        <w:t>.</w:t>
      </w:r>
    </w:p>
    <w:p w14:paraId="46B5C345" w14:textId="01DFEF76" w:rsidR="00291B81" w:rsidRPr="00E312ED" w:rsidRDefault="00B0782A" w:rsidP="000575C3">
      <w:pPr>
        <w:spacing w:line="240" w:lineRule="auto"/>
        <w:contextualSpacing/>
        <w:jc w:val="both"/>
        <w:rPr>
          <w:rFonts w:cs="Times New Roman"/>
          <w:szCs w:val="24"/>
        </w:rPr>
      </w:pPr>
      <w:r>
        <w:rPr>
          <w:rFonts w:cs="Times New Roman"/>
          <w:szCs w:val="24"/>
        </w:rPr>
        <w:t>Esta reforma entrará en vigor</w:t>
      </w:r>
      <w:r w:rsidR="003545A8" w:rsidRPr="00C96D76">
        <w:rPr>
          <w:rFonts w:cs="Times New Roman"/>
          <w:szCs w:val="24"/>
        </w:rPr>
        <w:t xml:space="preserve"> </w:t>
      </w:r>
      <w:r w:rsidR="00B047AA">
        <w:rPr>
          <w:rFonts w:cs="Times New Roman"/>
          <w:szCs w:val="24"/>
        </w:rPr>
        <w:t>quince</w:t>
      </w:r>
      <w:r w:rsidR="003545A8" w:rsidRPr="00C96D76">
        <w:rPr>
          <w:rFonts w:cs="Times New Roman"/>
          <w:szCs w:val="24"/>
        </w:rPr>
        <w:t xml:space="preserve"> días naturales </w:t>
      </w:r>
      <w:r w:rsidR="00616F80" w:rsidRPr="00C96D76">
        <w:rPr>
          <w:rFonts w:cs="Times New Roman"/>
          <w:szCs w:val="24"/>
        </w:rPr>
        <w:t xml:space="preserve">contados a partir del </w:t>
      </w:r>
      <w:r w:rsidR="008F3757" w:rsidRPr="00C96D76">
        <w:rPr>
          <w:rFonts w:cs="Times New Roman"/>
          <w:szCs w:val="24"/>
        </w:rPr>
        <w:t xml:space="preserve">día siguiente a </w:t>
      </w:r>
      <w:r w:rsidR="003545A8" w:rsidRPr="00C96D76">
        <w:rPr>
          <w:rFonts w:cs="Times New Roman"/>
          <w:szCs w:val="24"/>
        </w:rPr>
        <w:t xml:space="preserve">su publicación </w:t>
      </w:r>
      <w:r w:rsidR="005B2218" w:rsidRPr="00C96D76">
        <w:rPr>
          <w:rFonts w:cs="Times New Roman"/>
          <w:szCs w:val="24"/>
        </w:rPr>
        <w:t>en el diario</w:t>
      </w:r>
      <w:r w:rsidR="00FF5742" w:rsidRPr="00C96D76">
        <w:rPr>
          <w:rFonts w:cs="Times New Roman"/>
          <w:szCs w:val="24"/>
        </w:rPr>
        <w:t xml:space="preserve"> </w:t>
      </w:r>
      <w:r w:rsidR="005B2218" w:rsidRPr="00C96D76">
        <w:rPr>
          <w:rFonts w:cs="Times New Roman"/>
          <w:szCs w:val="24"/>
        </w:rPr>
        <w:t>oficial La Gaceta</w:t>
      </w:r>
      <w:r w:rsidR="00B67D5C" w:rsidRPr="00C96D76">
        <w:rPr>
          <w:rFonts w:cs="Times New Roman"/>
          <w:szCs w:val="24"/>
        </w:rPr>
        <w:t>.</w:t>
      </w:r>
    </w:p>
    <w:p w14:paraId="2F628B3E" w14:textId="77777777" w:rsidR="007A1423" w:rsidRDefault="007A1423" w:rsidP="007A1423">
      <w:pPr>
        <w:spacing w:line="240" w:lineRule="auto"/>
        <w:contextualSpacing/>
        <w:rPr>
          <w:rFonts w:cs="Times New Roman"/>
          <w:szCs w:val="24"/>
        </w:rPr>
      </w:pPr>
    </w:p>
    <w:p w14:paraId="540064E2" w14:textId="3441F7C7" w:rsidR="007A1423" w:rsidRPr="00E312ED" w:rsidRDefault="007A1423" w:rsidP="007A1423">
      <w:pPr>
        <w:spacing w:line="240" w:lineRule="auto"/>
        <w:contextualSpacing/>
        <w:rPr>
          <w:rFonts w:cs="Times New Roman"/>
          <w:szCs w:val="24"/>
        </w:rPr>
      </w:pPr>
      <w:r>
        <w:rPr>
          <w:rFonts w:cs="Times New Roman"/>
          <w:szCs w:val="24"/>
        </w:rPr>
        <w:t>Publíquese en el diario oficial La Gaceta.</w:t>
      </w:r>
    </w:p>
    <w:p w14:paraId="2E2B26EB" w14:textId="77777777" w:rsidR="007A1423" w:rsidRDefault="007A1423" w:rsidP="007A1423">
      <w:pPr>
        <w:spacing w:line="240" w:lineRule="auto"/>
        <w:contextualSpacing/>
        <w:rPr>
          <w:rFonts w:cs="Times New Roman"/>
          <w:szCs w:val="24"/>
        </w:rPr>
      </w:pPr>
    </w:p>
    <w:p w14:paraId="265D078F" w14:textId="36C2C343" w:rsidR="00A0168D" w:rsidRDefault="00291B81" w:rsidP="00531C8F">
      <w:pPr>
        <w:spacing w:line="240" w:lineRule="auto"/>
        <w:contextualSpacing/>
        <w:jc w:val="both"/>
        <w:rPr>
          <w:rFonts w:cs="Times New Roman"/>
          <w:szCs w:val="24"/>
        </w:rPr>
      </w:pPr>
      <w:r w:rsidRPr="00E312ED">
        <w:rPr>
          <w:rFonts w:cs="Times New Roman"/>
          <w:szCs w:val="24"/>
        </w:rPr>
        <w:t>Comuníquese</w:t>
      </w:r>
      <w:r w:rsidR="006462CC">
        <w:rPr>
          <w:rFonts w:cs="Times New Roman"/>
          <w:szCs w:val="24"/>
        </w:rPr>
        <w:t xml:space="preserve"> </w:t>
      </w:r>
      <w:r w:rsidR="00127F1B">
        <w:rPr>
          <w:rFonts w:cs="Times New Roman"/>
          <w:szCs w:val="24"/>
        </w:rPr>
        <w:t>a las Operadoras de Pensi</w:t>
      </w:r>
      <w:r w:rsidR="00C96D76">
        <w:rPr>
          <w:rFonts w:cs="Times New Roman"/>
          <w:szCs w:val="24"/>
        </w:rPr>
        <w:t xml:space="preserve">ones </w:t>
      </w:r>
      <w:r w:rsidR="00127F1B">
        <w:rPr>
          <w:rFonts w:cs="Times New Roman"/>
          <w:szCs w:val="24"/>
        </w:rPr>
        <w:t>Complementaria</w:t>
      </w:r>
      <w:r w:rsidR="00C96D76">
        <w:rPr>
          <w:rFonts w:cs="Times New Roman"/>
          <w:szCs w:val="24"/>
        </w:rPr>
        <w:t>s</w:t>
      </w:r>
      <w:r w:rsidR="00531C8F">
        <w:rPr>
          <w:rFonts w:cs="Times New Roman"/>
          <w:szCs w:val="24"/>
        </w:rPr>
        <w:t xml:space="preserve"> y a la Asociación Costarricense de Operadoras de Pensiones (ACOP).</w:t>
      </w:r>
    </w:p>
    <w:p w14:paraId="7C7C3FAA" w14:textId="77777777" w:rsidR="00531C8F" w:rsidRDefault="00531C8F" w:rsidP="00531C8F">
      <w:pPr>
        <w:spacing w:line="240" w:lineRule="auto"/>
        <w:contextualSpacing/>
        <w:jc w:val="both"/>
        <w:rPr>
          <w:rFonts w:cs="Times New Roman"/>
          <w:szCs w:val="24"/>
        </w:rPr>
      </w:pPr>
    </w:p>
    <w:p w14:paraId="59F7B0EB" w14:textId="77777777" w:rsidR="00851CCD" w:rsidRPr="00E312ED" w:rsidRDefault="00851CCD" w:rsidP="000575C3">
      <w:pPr>
        <w:spacing w:line="240" w:lineRule="auto"/>
        <w:contextualSpacing/>
        <w:rPr>
          <w:rFonts w:cs="Times New Roman"/>
          <w:szCs w:val="24"/>
        </w:rPr>
      </w:pPr>
      <w:r w:rsidRPr="00E312ED">
        <w:rPr>
          <w:rFonts w:cs="Times New Roman"/>
          <w:noProof/>
          <w:szCs w:val="24"/>
          <w:lang w:val="es-CR" w:eastAsia="es-CR"/>
        </w:rPr>
        <w:drawing>
          <wp:inline distT="0" distB="0" distL="0" distR="0" wp14:anchorId="56C24CB5" wp14:editId="7705B19D">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0E4B1B83" w14:textId="77777777" w:rsidR="00A0168D" w:rsidRPr="00E312ED" w:rsidRDefault="00A0168D" w:rsidP="000575C3">
      <w:pPr>
        <w:spacing w:line="240" w:lineRule="auto"/>
        <w:contextualSpacing/>
        <w:rPr>
          <w:rFonts w:cs="Times New Roman"/>
          <w:szCs w:val="24"/>
        </w:rPr>
      </w:pPr>
      <w:r w:rsidRPr="00E312ED">
        <w:rPr>
          <w:rFonts w:cs="Times New Roman"/>
          <w:szCs w:val="24"/>
        </w:rPr>
        <w:t>Rocío Aguilar M.</w:t>
      </w:r>
    </w:p>
    <w:p w14:paraId="726B38E5" w14:textId="77777777" w:rsidR="00A0168D" w:rsidRPr="00E312ED" w:rsidRDefault="00A0168D" w:rsidP="000575C3">
      <w:pPr>
        <w:spacing w:line="240" w:lineRule="auto"/>
        <w:contextualSpacing/>
        <w:rPr>
          <w:rFonts w:cs="Times New Roman"/>
          <w:szCs w:val="24"/>
        </w:rPr>
      </w:pPr>
      <w:r w:rsidRPr="00E312ED">
        <w:rPr>
          <w:rFonts w:cs="Times New Roman"/>
          <w:szCs w:val="24"/>
        </w:rPr>
        <w:t>Superintendente de Pensiones</w:t>
      </w:r>
    </w:p>
    <w:p w14:paraId="16728DE6" w14:textId="77777777" w:rsidR="006803D3" w:rsidRPr="00E312ED" w:rsidRDefault="006803D3" w:rsidP="000575C3">
      <w:pPr>
        <w:spacing w:line="240" w:lineRule="auto"/>
        <w:contextualSpacing/>
        <w:rPr>
          <w:rFonts w:cs="Times New Roman"/>
          <w:szCs w:val="24"/>
        </w:rPr>
      </w:pPr>
    </w:p>
    <w:p w14:paraId="20CDD62E" w14:textId="77777777" w:rsidR="00EE3DE8" w:rsidRDefault="00EE3DE8" w:rsidP="000575C3">
      <w:pPr>
        <w:spacing w:line="240" w:lineRule="auto"/>
        <w:contextualSpacing/>
        <w:rPr>
          <w:rFonts w:cs="Times New Roman"/>
          <w:szCs w:val="24"/>
        </w:rPr>
      </w:pPr>
    </w:p>
    <w:p w14:paraId="43BA68D3" w14:textId="2D7BF6F5" w:rsidR="006803D3" w:rsidRPr="009E617A" w:rsidRDefault="004B3D1D" w:rsidP="000575C3">
      <w:pPr>
        <w:spacing w:line="240" w:lineRule="auto"/>
        <w:contextualSpacing/>
        <w:rPr>
          <w:rFonts w:cs="Times New Roman"/>
          <w:i/>
          <w:color w:val="FF0000"/>
          <w:sz w:val="20"/>
          <w:szCs w:val="20"/>
        </w:rPr>
      </w:pPr>
      <w:r w:rsidRPr="009E617A">
        <w:rPr>
          <w:rFonts w:cs="Times New Roman"/>
          <w:sz w:val="20"/>
          <w:szCs w:val="20"/>
        </w:rPr>
        <w:t>Aproba</w:t>
      </w:r>
      <w:r w:rsidR="00B65E0E" w:rsidRPr="009E617A">
        <w:rPr>
          <w:rFonts w:cs="Times New Roman"/>
          <w:sz w:val="20"/>
          <w:szCs w:val="20"/>
        </w:rPr>
        <w:t>d</w:t>
      </w:r>
      <w:r w:rsidRPr="009E617A">
        <w:rPr>
          <w:rFonts w:cs="Times New Roman"/>
          <w:sz w:val="20"/>
          <w:szCs w:val="20"/>
        </w:rPr>
        <w:t>o</w:t>
      </w:r>
      <w:r w:rsidR="006803D3" w:rsidRPr="009E617A">
        <w:rPr>
          <w:rFonts w:cs="Times New Roman"/>
          <w:sz w:val="20"/>
          <w:szCs w:val="20"/>
        </w:rPr>
        <w:t xml:space="preserve"> por</w:t>
      </w:r>
      <w:r w:rsidR="009E617A" w:rsidRPr="009E617A">
        <w:rPr>
          <w:rFonts w:cs="Times New Roman"/>
          <w:sz w:val="20"/>
          <w:szCs w:val="20"/>
        </w:rPr>
        <w:t>: RCV/YSCh.</w:t>
      </w:r>
    </w:p>
    <w:sectPr w:rsidR="006803D3" w:rsidRPr="009E617A"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75FC" w14:textId="77777777" w:rsidR="002E29E1" w:rsidRDefault="002E29E1" w:rsidP="00011FAB">
      <w:pPr>
        <w:spacing w:line="240" w:lineRule="auto"/>
      </w:pPr>
      <w:r>
        <w:separator/>
      </w:r>
    </w:p>
  </w:endnote>
  <w:endnote w:type="continuationSeparator" w:id="0">
    <w:p w14:paraId="3CAB2B20" w14:textId="77777777" w:rsidR="002E29E1" w:rsidRDefault="002E29E1" w:rsidP="00011FAB">
      <w:pPr>
        <w:spacing w:line="240" w:lineRule="auto"/>
      </w:pPr>
      <w:r>
        <w:continuationSeparator/>
      </w:r>
    </w:p>
  </w:endnote>
  <w:endnote w:type="continuationNotice" w:id="1">
    <w:p w14:paraId="6C57474B" w14:textId="77777777" w:rsidR="002643AE" w:rsidRDefault="002643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B5C" w14:textId="77777777" w:rsidR="0055411F" w:rsidRDefault="005541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A3FC" w14:textId="77777777" w:rsidR="008C0C1F" w:rsidRDefault="008C0C1F" w:rsidP="003621B6">
    <w:pPr>
      <w:pStyle w:val="Piedepgina"/>
      <w:pBdr>
        <w:top w:val="single" w:sz="4" w:space="1" w:color="auto"/>
      </w:pBdr>
      <w:rPr>
        <w:i/>
        <w:szCs w:val="24"/>
      </w:rPr>
    </w:pPr>
  </w:p>
  <w:p w14:paraId="2A56B0F2" w14:textId="77777777" w:rsidR="008C0C1F" w:rsidRPr="00BE078A" w:rsidRDefault="008C0C1F"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A9EA" w14:textId="77777777" w:rsidR="008C0C1F" w:rsidRDefault="008C0C1F" w:rsidP="003621B6">
    <w:pPr>
      <w:pStyle w:val="Piedepgina"/>
      <w:pBdr>
        <w:top w:val="single" w:sz="4" w:space="1" w:color="auto"/>
      </w:pBdr>
      <w:rPr>
        <w:i/>
        <w:szCs w:val="24"/>
      </w:rPr>
    </w:pPr>
  </w:p>
  <w:p w14:paraId="2CF62CDB" w14:textId="77777777" w:rsidR="008C0C1F" w:rsidRPr="00BE078A" w:rsidRDefault="008C0C1F"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D6A7" w14:textId="77777777" w:rsidR="002E29E1" w:rsidRDefault="002E29E1" w:rsidP="00011FAB">
      <w:pPr>
        <w:spacing w:line="240" w:lineRule="auto"/>
      </w:pPr>
      <w:r>
        <w:separator/>
      </w:r>
    </w:p>
  </w:footnote>
  <w:footnote w:type="continuationSeparator" w:id="0">
    <w:p w14:paraId="15FCA785" w14:textId="77777777" w:rsidR="002E29E1" w:rsidRDefault="002E29E1" w:rsidP="00011FAB">
      <w:pPr>
        <w:spacing w:line="240" w:lineRule="auto"/>
      </w:pPr>
      <w:r>
        <w:continuationSeparator/>
      </w:r>
    </w:p>
  </w:footnote>
  <w:footnote w:type="continuationNotice" w:id="1">
    <w:p w14:paraId="551D2B06" w14:textId="77777777" w:rsidR="002643AE" w:rsidRDefault="002643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2A10" w14:textId="77777777" w:rsidR="0055411F" w:rsidRDefault="005541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30B9" w14:textId="0D9E7576" w:rsidR="008C0C1F" w:rsidRPr="00092B79" w:rsidRDefault="007D1435" w:rsidP="006B6689">
    <w:pPr>
      <w:pStyle w:val="Encabezado"/>
      <w:rPr>
        <w:b/>
        <w:i/>
        <w:noProof/>
        <w:szCs w:val="24"/>
      </w:rPr>
    </w:pPr>
    <w:r>
      <w:rPr>
        <w:b/>
        <w:i/>
        <w:noProof/>
        <w:szCs w:val="24"/>
      </w:rPr>
      <w:drawing>
        <wp:anchor distT="0" distB="0" distL="114300" distR="114300" simplePos="0" relativeHeight="251658243" behindDoc="0" locked="0" layoutInCell="1" allowOverlap="1" wp14:anchorId="296D281C" wp14:editId="68065B5A">
          <wp:simplePos x="0" y="0"/>
          <wp:positionH relativeFrom="margin">
            <wp:posOffset>4886946</wp:posOffset>
          </wp:positionH>
          <wp:positionV relativeFrom="margin">
            <wp:posOffset>-1152249</wp:posOffset>
          </wp:positionV>
          <wp:extent cx="920750" cy="5975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97535"/>
                  </a:xfrm>
                  <a:prstGeom prst="rect">
                    <a:avLst/>
                  </a:prstGeom>
                  <a:noFill/>
                </pic:spPr>
              </pic:pic>
            </a:graphicData>
          </a:graphic>
        </wp:anchor>
      </w:drawing>
    </w:r>
    <w:r w:rsidR="008C0C1F">
      <w:rPr>
        <w:noProof/>
        <w:lang w:val="es-CR" w:eastAsia="es-CR"/>
      </w:rPr>
      <w:drawing>
        <wp:anchor distT="0" distB="0" distL="114300" distR="114300" simplePos="0" relativeHeight="251658240" behindDoc="1" locked="0" layoutInCell="1" allowOverlap="1" wp14:anchorId="265C1022" wp14:editId="34E3C078">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008C0C1F" w:rsidRPr="00092B79">
      <w:rPr>
        <w:b/>
        <w:i/>
        <w:szCs w:val="24"/>
      </w:rPr>
      <w:fldChar w:fldCharType="begin"/>
    </w:r>
    <w:r w:rsidR="008C0C1F" w:rsidRPr="00092B79">
      <w:rPr>
        <w:b/>
        <w:i/>
        <w:szCs w:val="24"/>
      </w:rPr>
      <w:instrText xml:space="preserve"> STYLEREF  Supen_Encabezado  \* MERGEFORMAT </w:instrText>
    </w:r>
    <w:r w:rsidR="008C0C1F" w:rsidRPr="00092B79">
      <w:rPr>
        <w:b/>
        <w:i/>
        <w:szCs w:val="24"/>
      </w:rPr>
      <w:fldChar w:fldCharType="separate"/>
    </w:r>
    <w:r w:rsidR="00BC4625">
      <w:rPr>
        <w:b/>
        <w:i/>
        <w:noProof/>
        <w:szCs w:val="24"/>
      </w:rPr>
      <w:t>SP-A-257-2022</w:t>
    </w:r>
    <w:r w:rsidR="008C0C1F" w:rsidRPr="00092B79">
      <w:rPr>
        <w:b/>
        <w:i/>
        <w:noProof/>
        <w:szCs w:val="24"/>
      </w:rPr>
      <w:fldChar w:fldCharType="end"/>
    </w:r>
  </w:p>
  <w:p w14:paraId="0371E262" w14:textId="77777777" w:rsidR="008C0C1F" w:rsidRDefault="008C0C1F" w:rsidP="006B6689">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43066D6B" w14:textId="148ED67E" w:rsidR="008C0C1F" w:rsidRPr="00DC38D9" w:rsidRDefault="008C0C1F"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BF52" w14:textId="3EBC1F0B" w:rsidR="008C0C1F" w:rsidRDefault="007D1435" w:rsidP="00310D45">
    <w:pPr>
      <w:pStyle w:val="Encabezado"/>
    </w:pPr>
    <w:r>
      <w:rPr>
        <w:noProof/>
      </w:rPr>
      <w:drawing>
        <wp:anchor distT="0" distB="0" distL="114300" distR="114300" simplePos="0" relativeHeight="251658242" behindDoc="0" locked="0" layoutInCell="1" allowOverlap="1" wp14:anchorId="650F1422" wp14:editId="04AEFC61">
          <wp:simplePos x="0" y="0"/>
          <wp:positionH relativeFrom="margin">
            <wp:posOffset>4728379</wp:posOffset>
          </wp:positionH>
          <wp:positionV relativeFrom="margin">
            <wp:posOffset>-935543</wp:posOffset>
          </wp:positionV>
          <wp:extent cx="920750" cy="5975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597535"/>
                  </a:xfrm>
                  <a:prstGeom prst="rect">
                    <a:avLst/>
                  </a:prstGeom>
                  <a:noFill/>
                </pic:spPr>
              </pic:pic>
            </a:graphicData>
          </a:graphic>
        </wp:anchor>
      </w:drawing>
    </w:r>
    <w:r w:rsidR="008C0C1F">
      <w:rPr>
        <w:noProof/>
        <w:lang w:val="es-CR" w:eastAsia="es-CR"/>
      </w:rPr>
      <w:drawing>
        <wp:anchor distT="0" distB="0" distL="114300" distR="114300" simplePos="0" relativeHeight="251658241" behindDoc="1" locked="0" layoutInCell="1" allowOverlap="1" wp14:anchorId="5CDE19E4" wp14:editId="4F94364A">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008C0C1F">
      <w:tab/>
    </w:r>
    <w:r w:rsidR="008C0C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37F5B"/>
    <w:multiLevelType w:val="hybridMultilevel"/>
    <w:tmpl w:val="80A4B7A8"/>
    <w:lvl w:ilvl="0" w:tplc="BBCAAA2A">
      <w:start w:val="1"/>
      <w:numFmt w:val="decimal"/>
      <w:lvlText w:val="%1."/>
      <w:lvlJc w:val="left"/>
      <w:pPr>
        <w:ind w:left="1146" w:hanging="360"/>
      </w:pPr>
      <w:rPr>
        <w:rFonts w:hint="default"/>
        <w:b w:val="0"/>
        <w:bCs w:val="0"/>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 w15:restartNumberingAfterBreak="0">
    <w:nsid w:val="27616B80"/>
    <w:multiLevelType w:val="hybridMultilevel"/>
    <w:tmpl w:val="A8B24AF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BA4E7C"/>
    <w:multiLevelType w:val="hybridMultilevel"/>
    <w:tmpl w:val="55E461D6"/>
    <w:lvl w:ilvl="0" w:tplc="BBCAAA2A">
      <w:start w:val="1"/>
      <w:numFmt w:val="decimal"/>
      <w:lvlText w:val="%1."/>
      <w:lvlJc w:val="left"/>
      <w:pPr>
        <w:ind w:left="1146" w:hanging="360"/>
      </w:pPr>
      <w:rPr>
        <w:rFonts w:hint="default"/>
        <w:b w:val="0"/>
        <w:bCs w:val="0"/>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3" w15:restartNumberingAfterBreak="0">
    <w:nsid w:val="41ED5225"/>
    <w:multiLevelType w:val="hybridMultilevel"/>
    <w:tmpl w:val="5908243E"/>
    <w:lvl w:ilvl="0" w:tplc="BBCAAA2A">
      <w:start w:val="1"/>
      <w:numFmt w:val="decimal"/>
      <w:lvlText w:val="%1."/>
      <w:lvlJc w:val="left"/>
      <w:pPr>
        <w:ind w:left="1146" w:hanging="360"/>
      </w:pPr>
      <w:rPr>
        <w:rFonts w:hint="default"/>
        <w:b w:val="0"/>
        <w:bCs w:val="0"/>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4" w15:restartNumberingAfterBreak="0">
    <w:nsid w:val="47EB47FA"/>
    <w:multiLevelType w:val="hybridMultilevel"/>
    <w:tmpl w:val="A8B24AF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232B2E"/>
    <w:multiLevelType w:val="hybridMultilevel"/>
    <w:tmpl w:val="7E3AF2F8"/>
    <w:lvl w:ilvl="0" w:tplc="93D4A840">
      <w:start w:val="1"/>
      <w:numFmt w:val="decimal"/>
      <w:lvlText w:val="%1)"/>
      <w:lvlJc w:val="left"/>
      <w:pPr>
        <w:ind w:left="720" w:hanging="360"/>
      </w:pPr>
      <w:rPr>
        <w:rFonts w:hint="default"/>
        <w:i w:val="0"/>
        <w:iCs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5D463DC"/>
    <w:multiLevelType w:val="hybridMultilevel"/>
    <w:tmpl w:val="8F58C434"/>
    <w:lvl w:ilvl="0" w:tplc="BBCAAA2A">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AEA057A"/>
    <w:multiLevelType w:val="hybridMultilevel"/>
    <w:tmpl w:val="A67A45A8"/>
    <w:lvl w:ilvl="0" w:tplc="BBCAAA2A">
      <w:start w:val="1"/>
      <w:numFmt w:val="decimal"/>
      <w:lvlText w:val="%1."/>
      <w:lvlJc w:val="left"/>
      <w:pPr>
        <w:ind w:left="1146" w:hanging="360"/>
      </w:pPr>
      <w:rPr>
        <w:rFonts w:hint="default"/>
        <w:b w:val="0"/>
        <w:bCs w:val="0"/>
      </w:rPr>
    </w:lvl>
    <w:lvl w:ilvl="1" w:tplc="140A0019" w:tentative="1">
      <w:start w:val="1"/>
      <w:numFmt w:val="lowerLetter"/>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8" w15:restartNumberingAfterBreak="0">
    <w:nsid w:val="617F1FB7"/>
    <w:multiLevelType w:val="hybridMultilevel"/>
    <w:tmpl w:val="B504DF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B684456"/>
    <w:multiLevelType w:val="hybridMultilevel"/>
    <w:tmpl w:val="77E627E4"/>
    <w:lvl w:ilvl="0" w:tplc="BBCAAA2A">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7"/>
  </w:num>
  <w:num w:numId="6">
    <w:abstractNumId w:val="3"/>
  </w:num>
  <w:num w:numId="7">
    <w:abstractNumId w:val="0"/>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031F6"/>
    <w:rsid w:val="000070F5"/>
    <w:rsid w:val="00007E70"/>
    <w:rsid w:val="00011FAB"/>
    <w:rsid w:val="000135FE"/>
    <w:rsid w:val="00016189"/>
    <w:rsid w:val="00021ADD"/>
    <w:rsid w:val="00024EEB"/>
    <w:rsid w:val="00032AE9"/>
    <w:rsid w:val="00035EDB"/>
    <w:rsid w:val="0004052C"/>
    <w:rsid w:val="00040A6B"/>
    <w:rsid w:val="000421CB"/>
    <w:rsid w:val="00043747"/>
    <w:rsid w:val="00045471"/>
    <w:rsid w:val="0004612B"/>
    <w:rsid w:val="000506B7"/>
    <w:rsid w:val="0005420A"/>
    <w:rsid w:val="00055CAA"/>
    <w:rsid w:val="00055E85"/>
    <w:rsid w:val="000575C3"/>
    <w:rsid w:val="00062CA9"/>
    <w:rsid w:val="00062EE0"/>
    <w:rsid w:val="0006650E"/>
    <w:rsid w:val="000673BC"/>
    <w:rsid w:val="00067BA9"/>
    <w:rsid w:val="0007284D"/>
    <w:rsid w:val="00075DD8"/>
    <w:rsid w:val="00077187"/>
    <w:rsid w:val="00077846"/>
    <w:rsid w:val="0008598F"/>
    <w:rsid w:val="000914EF"/>
    <w:rsid w:val="00092B79"/>
    <w:rsid w:val="00095A2B"/>
    <w:rsid w:val="000A1695"/>
    <w:rsid w:val="000A22A2"/>
    <w:rsid w:val="000A367E"/>
    <w:rsid w:val="000A587E"/>
    <w:rsid w:val="000B3104"/>
    <w:rsid w:val="000B656F"/>
    <w:rsid w:val="000C239B"/>
    <w:rsid w:val="000C48F7"/>
    <w:rsid w:val="000C5440"/>
    <w:rsid w:val="000C6979"/>
    <w:rsid w:val="000D2314"/>
    <w:rsid w:val="000E1D7B"/>
    <w:rsid w:val="000E1E12"/>
    <w:rsid w:val="000E6131"/>
    <w:rsid w:val="000F0254"/>
    <w:rsid w:val="000F13BA"/>
    <w:rsid w:val="000F1B80"/>
    <w:rsid w:val="000F20BC"/>
    <w:rsid w:val="000F343E"/>
    <w:rsid w:val="000F7BC0"/>
    <w:rsid w:val="00100681"/>
    <w:rsid w:val="0010390B"/>
    <w:rsid w:val="00105871"/>
    <w:rsid w:val="00107ED5"/>
    <w:rsid w:val="00112F29"/>
    <w:rsid w:val="001141B7"/>
    <w:rsid w:val="00115510"/>
    <w:rsid w:val="00120C34"/>
    <w:rsid w:val="00122F70"/>
    <w:rsid w:val="0012300A"/>
    <w:rsid w:val="00124300"/>
    <w:rsid w:val="00125A13"/>
    <w:rsid w:val="00126659"/>
    <w:rsid w:val="00127932"/>
    <w:rsid w:val="00127F1B"/>
    <w:rsid w:val="00130191"/>
    <w:rsid w:val="0013514F"/>
    <w:rsid w:val="0013654D"/>
    <w:rsid w:val="00136F45"/>
    <w:rsid w:val="001379C7"/>
    <w:rsid w:val="00140E5A"/>
    <w:rsid w:val="00142A65"/>
    <w:rsid w:val="0014390F"/>
    <w:rsid w:val="00144664"/>
    <w:rsid w:val="00144AE8"/>
    <w:rsid w:val="0014591B"/>
    <w:rsid w:val="0014613A"/>
    <w:rsid w:val="00151450"/>
    <w:rsid w:val="001609DC"/>
    <w:rsid w:val="00162A9F"/>
    <w:rsid w:val="001667A9"/>
    <w:rsid w:val="00171371"/>
    <w:rsid w:val="00172673"/>
    <w:rsid w:val="00172E91"/>
    <w:rsid w:val="0017330F"/>
    <w:rsid w:val="00181F10"/>
    <w:rsid w:val="001861E0"/>
    <w:rsid w:val="00186582"/>
    <w:rsid w:val="001913CE"/>
    <w:rsid w:val="00197ECB"/>
    <w:rsid w:val="001B1273"/>
    <w:rsid w:val="001B17FD"/>
    <w:rsid w:val="001B18A4"/>
    <w:rsid w:val="001B3FA8"/>
    <w:rsid w:val="001B41A7"/>
    <w:rsid w:val="001B504D"/>
    <w:rsid w:val="001B67E6"/>
    <w:rsid w:val="001C220E"/>
    <w:rsid w:val="001C34D7"/>
    <w:rsid w:val="001C552E"/>
    <w:rsid w:val="001C7469"/>
    <w:rsid w:val="001C7902"/>
    <w:rsid w:val="001C79DC"/>
    <w:rsid w:val="001D016A"/>
    <w:rsid w:val="001D18BF"/>
    <w:rsid w:val="001D2B9A"/>
    <w:rsid w:val="001D3394"/>
    <w:rsid w:val="001D3C60"/>
    <w:rsid w:val="001D59C6"/>
    <w:rsid w:val="001D6082"/>
    <w:rsid w:val="001D6A99"/>
    <w:rsid w:val="001D7091"/>
    <w:rsid w:val="001E3490"/>
    <w:rsid w:val="001F1009"/>
    <w:rsid w:val="001F2409"/>
    <w:rsid w:val="001F2DF1"/>
    <w:rsid w:val="001F4645"/>
    <w:rsid w:val="001F480F"/>
    <w:rsid w:val="00202249"/>
    <w:rsid w:val="002073B7"/>
    <w:rsid w:val="00211F3B"/>
    <w:rsid w:val="00217A5B"/>
    <w:rsid w:val="00221368"/>
    <w:rsid w:val="0022425D"/>
    <w:rsid w:val="0022535D"/>
    <w:rsid w:val="002257D1"/>
    <w:rsid w:val="00225939"/>
    <w:rsid w:val="00227BD8"/>
    <w:rsid w:val="002350E1"/>
    <w:rsid w:val="002370A6"/>
    <w:rsid w:val="00237717"/>
    <w:rsid w:val="00244DB1"/>
    <w:rsid w:val="00250620"/>
    <w:rsid w:val="00250C01"/>
    <w:rsid w:val="0025216C"/>
    <w:rsid w:val="00261EA7"/>
    <w:rsid w:val="00261F6E"/>
    <w:rsid w:val="00262F5C"/>
    <w:rsid w:val="002643AE"/>
    <w:rsid w:val="002664F9"/>
    <w:rsid w:val="00266E39"/>
    <w:rsid w:val="00267820"/>
    <w:rsid w:val="0026796D"/>
    <w:rsid w:val="002711ED"/>
    <w:rsid w:val="00277C51"/>
    <w:rsid w:val="00285B16"/>
    <w:rsid w:val="00291B81"/>
    <w:rsid w:val="00293F55"/>
    <w:rsid w:val="00295482"/>
    <w:rsid w:val="002A3C92"/>
    <w:rsid w:val="002A4FCD"/>
    <w:rsid w:val="002B0E72"/>
    <w:rsid w:val="002B4649"/>
    <w:rsid w:val="002B4F95"/>
    <w:rsid w:val="002C0B2E"/>
    <w:rsid w:val="002C2D6C"/>
    <w:rsid w:val="002C38C9"/>
    <w:rsid w:val="002C4C8C"/>
    <w:rsid w:val="002D01F9"/>
    <w:rsid w:val="002D3246"/>
    <w:rsid w:val="002D731A"/>
    <w:rsid w:val="002E0D1A"/>
    <w:rsid w:val="002E29E1"/>
    <w:rsid w:val="002E31FF"/>
    <w:rsid w:val="002E3245"/>
    <w:rsid w:val="002E3CC9"/>
    <w:rsid w:val="002E4526"/>
    <w:rsid w:val="002E554D"/>
    <w:rsid w:val="002E5C0B"/>
    <w:rsid w:val="002E6179"/>
    <w:rsid w:val="002E66FB"/>
    <w:rsid w:val="002E7B89"/>
    <w:rsid w:val="002E7CF5"/>
    <w:rsid w:val="002F0201"/>
    <w:rsid w:val="002F0CD8"/>
    <w:rsid w:val="002F1566"/>
    <w:rsid w:val="002F2153"/>
    <w:rsid w:val="002F4755"/>
    <w:rsid w:val="002F53E3"/>
    <w:rsid w:val="00302815"/>
    <w:rsid w:val="00303B4A"/>
    <w:rsid w:val="00304532"/>
    <w:rsid w:val="003049CA"/>
    <w:rsid w:val="00305EDC"/>
    <w:rsid w:val="00307875"/>
    <w:rsid w:val="00310D45"/>
    <w:rsid w:val="00311229"/>
    <w:rsid w:val="00313EF8"/>
    <w:rsid w:val="003155C5"/>
    <w:rsid w:val="003177A7"/>
    <w:rsid w:val="00320157"/>
    <w:rsid w:val="003262D5"/>
    <w:rsid w:val="003262E3"/>
    <w:rsid w:val="00331705"/>
    <w:rsid w:val="003319E3"/>
    <w:rsid w:val="00332B85"/>
    <w:rsid w:val="00333D07"/>
    <w:rsid w:val="00334ACF"/>
    <w:rsid w:val="00335511"/>
    <w:rsid w:val="00335677"/>
    <w:rsid w:val="00335A29"/>
    <w:rsid w:val="00337948"/>
    <w:rsid w:val="003419A0"/>
    <w:rsid w:val="00345B83"/>
    <w:rsid w:val="00347408"/>
    <w:rsid w:val="00347829"/>
    <w:rsid w:val="0035004D"/>
    <w:rsid w:val="003515B8"/>
    <w:rsid w:val="00352066"/>
    <w:rsid w:val="003545A8"/>
    <w:rsid w:val="003570BB"/>
    <w:rsid w:val="00357A9B"/>
    <w:rsid w:val="00361929"/>
    <w:rsid w:val="003621B6"/>
    <w:rsid w:val="0036277D"/>
    <w:rsid w:val="00365295"/>
    <w:rsid w:val="003658BB"/>
    <w:rsid w:val="003674AD"/>
    <w:rsid w:val="00370DBD"/>
    <w:rsid w:val="00372474"/>
    <w:rsid w:val="00376683"/>
    <w:rsid w:val="00377CEE"/>
    <w:rsid w:val="00381232"/>
    <w:rsid w:val="00381759"/>
    <w:rsid w:val="00382808"/>
    <w:rsid w:val="00387A09"/>
    <w:rsid w:val="00387CD6"/>
    <w:rsid w:val="003A06F4"/>
    <w:rsid w:val="003A116E"/>
    <w:rsid w:val="003A3E32"/>
    <w:rsid w:val="003B060B"/>
    <w:rsid w:val="003B1F0B"/>
    <w:rsid w:val="003B3484"/>
    <w:rsid w:val="003B667F"/>
    <w:rsid w:val="003B7C19"/>
    <w:rsid w:val="003C5F4D"/>
    <w:rsid w:val="003C620B"/>
    <w:rsid w:val="003C683A"/>
    <w:rsid w:val="003C7287"/>
    <w:rsid w:val="003D35CA"/>
    <w:rsid w:val="003D4A24"/>
    <w:rsid w:val="003E273F"/>
    <w:rsid w:val="003E5E87"/>
    <w:rsid w:val="003E7844"/>
    <w:rsid w:val="003F0F3A"/>
    <w:rsid w:val="003F276A"/>
    <w:rsid w:val="003F27EB"/>
    <w:rsid w:val="0040299A"/>
    <w:rsid w:val="00403F82"/>
    <w:rsid w:val="00404825"/>
    <w:rsid w:val="00405AB2"/>
    <w:rsid w:val="00410B79"/>
    <w:rsid w:val="004138C1"/>
    <w:rsid w:val="00413B95"/>
    <w:rsid w:val="00421774"/>
    <w:rsid w:val="00423DAA"/>
    <w:rsid w:val="004245AE"/>
    <w:rsid w:val="00426CE9"/>
    <w:rsid w:val="0042790D"/>
    <w:rsid w:val="004311CB"/>
    <w:rsid w:val="00432490"/>
    <w:rsid w:val="004409B7"/>
    <w:rsid w:val="00443956"/>
    <w:rsid w:val="0044546C"/>
    <w:rsid w:val="004460F8"/>
    <w:rsid w:val="00451FBE"/>
    <w:rsid w:val="0045287A"/>
    <w:rsid w:val="00454A76"/>
    <w:rsid w:val="004565B1"/>
    <w:rsid w:val="00456CEE"/>
    <w:rsid w:val="00464393"/>
    <w:rsid w:val="00465C45"/>
    <w:rsid w:val="00470FA5"/>
    <w:rsid w:val="00472597"/>
    <w:rsid w:val="00473685"/>
    <w:rsid w:val="004742B1"/>
    <w:rsid w:val="00475508"/>
    <w:rsid w:val="00476E30"/>
    <w:rsid w:val="00477218"/>
    <w:rsid w:val="00480644"/>
    <w:rsid w:val="00481DD5"/>
    <w:rsid w:val="004833FC"/>
    <w:rsid w:val="00484927"/>
    <w:rsid w:val="0048526F"/>
    <w:rsid w:val="004934D3"/>
    <w:rsid w:val="004A2C15"/>
    <w:rsid w:val="004B0323"/>
    <w:rsid w:val="004B1C46"/>
    <w:rsid w:val="004B267F"/>
    <w:rsid w:val="004B3D1D"/>
    <w:rsid w:val="004B51B0"/>
    <w:rsid w:val="004B7541"/>
    <w:rsid w:val="004C5F2D"/>
    <w:rsid w:val="004C7270"/>
    <w:rsid w:val="004D0686"/>
    <w:rsid w:val="004D1EC0"/>
    <w:rsid w:val="004D3F6E"/>
    <w:rsid w:val="004D6314"/>
    <w:rsid w:val="004E1E0F"/>
    <w:rsid w:val="004E23FB"/>
    <w:rsid w:val="004E4A7E"/>
    <w:rsid w:val="004E5AB3"/>
    <w:rsid w:val="004E6324"/>
    <w:rsid w:val="004E6637"/>
    <w:rsid w:val="004E711B"/>
    <w:rsid w:val="004F0141"/>
    <w:rsid w:val="004F21B2"/>
    <w:rsid w:val="004F4DDE"/>
    <w:rsid w:val="0050482D"/>
    <w:rsid w:val="0050511E"/>
    <w:rsid w:val="00507921"/>
    <w:rsid w:val="00510B84"/>
    <w:rsid w:val="005123FD"/>
    <w:rsid w:val="0051272B"/>
    <w:rsid w:val="00514776"/>
    <w:rsid w:val="005160B0"/>
    <w:rsid w:val="00522B35"/>
    <w:rsid w:val="005316D2"/>
    <w:rsid w:val="0053191F"/>
    <w:rsid w:val="0053192F"/>
    <w:rsid w:val="00531C8F"/>
    <w:rsid w:val="005371BF"/>
    <w:rsid w:val="00537AEC"/>
    <w:rsid w:val="00542579"/>
    <w:rsid w:val="005429B7"/>
    <w:rsid w:val="005431E6"/>
    <w:rsid w:val="005445CE"/>
    <w:rsid w:val="0055285B"/>
    <w:rsid w:val="0055396E"/>
    <w:rsid w:val="00553FA3"/>
    <w:rsid w:val="0055411F"/>
    <w:rsid w:val="00562A45"/>
    <w:rsid w:val="0056508F"/>
    <w:rsid w:val="00565794"/>
    <w:rsid w:val="00565EB3"/>
    <w:rsid w:val="00566A76"/>
    <w:rsid w:val="00567ADC"/>
    <w:rsid w:val="00576C86"/>
    <w:rsid w:val="00576F3D"/>
    <w:rsid w:val="005803BB"/>
    <w:rsid w:val="00580A33"/>
    <w:rsid w:val="0058550D"/>
    <w:rsid w:val="00586B65"/>
    <w:rsid w:val="0058753F"/>
    <w:rsid w:val="00587960"/>
    <w:rsid w:val="0059081B"/>
    <w:rsid w:val="005922A4"/>
    <w:rsid w:val="00593CC0"/>
    <w:rsid w:val="00594A6E"/>
    <w:rsid w:val="005A0EA2"/>
    <w:rsid w:val="005A2889"/>
    <w:rsid w:val="005A3669"/>
    <w:rsid w:val="005A51C3"/>
    <w:rsid w:val="005A55A4"/>
    <w:rsid w:val="005A6A51"/>
    <w:rsid w:val="005A76B8"/>
    <w:rsid w:val="005B1005"/>
    <w:rsid w:val="005B1BE5"/>
    <w:rsid w:val="005B2218"/>
    <w:rsid w:val="005C159C"/>
    <w:rsid w:val="005C18F6"/>
    <w:rsid w:val="005D2A13"/>
    <w:rsid w:val="005E1B90"/>
    <w:rsid w:val="005E2218"/>
    <w:rsid w:val="005E4A8B"/>
    <w:rsid w:val="005F2AB9"/>
    <w:rsid w:val="005F3F5E"/>
    <w:rsid w:val="005F73DD"/>
    <w:rsid w:val="00602B4B"/>
    <w:rsid w:val="00602F43"/>
    <w:rsid w:val="006038EE"/>
    <w:rsid w:val="00606FA4"/>
    <w:rsid w:val="006078F5"/>
    <w:rsid w:val="0061092B"/>
    <w:rsid w:val="00612CB0"/>
    <w:rsid w:val="00616F80"/>
    <w:rsid w:val="00620297"/>
    <w:rsid w:val="00620A5D"/>
    <w:rsid w:val="00621251"/>
    <w:rsid w:val="00630614"/>
    <w:rsid w:val="00630DE9"/>
    <w:rsid w:val="00632D4D"/>
    <w:rsid w:val="00632D50"/>
    <w:rsid w:val="00633A70"/>
    <w:rsid w:val="0063576A"/>
    <w:rsid w:val="00636496"/>
    <w:rsid w:val="006378EC"/>
    <w:rsid w:val="00637EF2"/>
    <w:rsid w:val="00645178"/>
    <w:rsid w:val="006462CC"/>
    <w:rsid w:val="00652C44"/>
    <w:rsid w:val="00655F83"/>
    <w:rsid w:val="00671008"/>
    <w:rsid w:val="00671A6D"/>
    <w:rsid w:val="006774D1"/>
    <w:rsid w:val="0068006C"/>
    <w:rsid w:val="006803D3"/>
    <w:rsid w:val="006809F3"/>
    <w:rsid w:val="00682785"/>
    <w:rsid w:val="006840A9"/>
    <w:rsid w:val="006842AB"/>
    <w:rsid w:val="00691FD1"/>
    <w:rsid w:val="006962C2"/>
    <w:rsid w:val="006A00D7"/>
    <w:rsid w:val="006A4205"/>
    <w:rsid w:val="006A6C2C"/>
    <w:rsid w:val="006B4FA7"/>
    <w:rsid w:val="006B50CE"/>
    <w:rsid w:val="006B5F18"/>
    <w:rsid w:val="006B6689"/>
    <w:rsid w:val="006C2E54"/>
    <w:rsid w:val="006C452D"/>
    <w:rsid w:val="006C4D9E"/>
    <w:rsid w:val="006C5791"/>
    <w:rsid w:val="006D2852"/>
    <w:rsid w:val="006D2E2A"/>
    <w:rsid w:val="006D4268"/>
    <w:rsid w:val="006D4DFC"/>
    <w:rsid w:val="006D5AB7"/>
    <w:rsid w:val="006D5B49"/>
    <w:rsid w:val="006E0B05"/>
    <w:rsid w:val="006E1E6E"/>
    <w:rsid w:val="006E28A7"/>
    <w:rsid w:val="006F0AD6"/>
    <w:rsid w:val="006F1587"/>
    <w:rsid w:val="006F33E5"/>
    <w:rsid w:val="006F5308"/>
    <w:rsid w:val="006F58C1"/>
    <w:rsid w:val="006F787D"/>
    <w:rsid w:val="006F7F71"/>
    <w:rsid w:val="00701722"/>
    <w:rsid w:val="00702D3A"/>
    <w:rsid w:val="00702FB5"/>
    <w:rsid w:val="00705ECD"/>
    <w:rsid w:val="00714DA3"/>
    <w:rsid w:val="00716371"/>
    <w:rsid w:val="00722522"/>
    <w:rsid w:val="007229CE"/>
    <w:rsid w:val="007258A2"/>
    <w:rsid w:val="007274CA"/>
    <w:rsid w:val="0073088C"/>
    <w:rsid w:val="00732D8B"/>
    <w:rsid w:val="00733053"/>
    <w:rsid w:val="00734DB6"/>
    <w:rsid w:val="00736976"/>
    <w:rsid w:val="00757388"/>
    <w:rsid w:val="00762C3A"/>
    <w:rsid w:val="00762D11"/>
    <w:rsid w:val="00763296"/>
    <w:rsid w:val="00763F24"/>
    <w:rsid w:val="00765595"/>
    <w:rsid w:val="0076656D"/>
    <w:rsid w:val="0076689E"/>
    <w:rsid w:val="00770730"/>
    <w:rsid w:val="00773B6E"/>
    <w:rsid w:val="007753C8"/>
    <w:rsid w:val="00775B6A"/>
    <w:rsid w:val="00775C15"/>
    <w:rsid w:val="00777B01"/>
    <w:rsid w:val="00782C92"/>
    <w:rsid w:val="00782EAF"/>
    <w:rsid w:val="00783A1F"/>
    <w:rsid w:val="00783F1E"/>
    <w:rsid w:val="00784B66"/>
    <w:rsid w:val="007946D7"/>
    <w:rsid w:val="0079478E"/>
    <w:rsid w:val="00794971"/>
    <w:rsid w:val="00797D4F"/>
    <w:rsid w:val="007A1423"/>
    <w:rsid w:val="007A2725"/>
    <w:rsid w:val="007A464E"/>
    <w:rsid w:val="007A507D"/>
    <w:rsid w:val="007A5442"/>
    <w:rsid w:val="007A6401"/>
    <w:rsid w:val="007A689B"/>
    <w:rsid w:val="007A6D11"/>
    <w:rsid w:val="007B0EAB"/>
    <w:rsid w:val="007B21AA"/>
    <w:rsid w:val="007B253B"/>
    <w:rsid w:val="007B2718"/>
    <w:rsid w:val="007B597B"/>
    <w:rsid w:val="007B7669"/>
    <w:rsid w:val="007C157B"/>
    <w:rsid w:val="007C3387"/>
    <w:rsid w:val="007D1435"/>
    <w:rsid w:val="007D1FDD"/>
    <w:rsid w:val="007D3018"/>
    <w:rsid w:val="007D31CC"/>
    <w:rsid w:val="007D4220"/>
    <w:rsid w:val="007D711F"/>
    <w:rsid w:val="007E4BB2"/>
    <w:rsid w:val="007E7168"/>
    <w:rsid w:val="007E7942"/>
    <w:rsid w:val="007F07A0"/>
    <w:rsid w:val="007F36F8"/>
    <w:rsid w:val="007F40B6"/>
    <w:rsid w:val="007F5A9C"/>
    <w:rsid w:val="00801E9C"/>
    <w:rsid w:val="00803767"/>
    <w:rsid w:val="008051AB"/>
    <w:rsid w:val="0080729B"/>
    <w:rsid w:val="008105E4"/>
    <w:rsid w:val="00813F09"/>
    <w:rsid w:val="00822402"/>
    <w:rsid w:val="008241BB"/>
    <w:rsid w:val="00826C90"/>
    <w:rsid w:val="00826EC1"/>
    <w:rsid w:val="008308B4"/>
    <w:rsid w:val="00830E5A"/>
    <w:rsid w:val="00832382"/>
    <w:rsid w:val="00833531"/>
    <w:rsid w:val="00836636"/>
    <w:rsid w:val="00841E75"/>
    <w:rsid w:val="00843923"/>
    <w:rsid w:val="0085032C"/>
    <w:rsid w:val="00851CCD"/>
    <w:rsid w:val="00862E74"/>
    <w:rsid w:val="008649D9"/>
    <w:rsid w:val="00870D0D"/>
    <w:rsid w:val="0087457D"/>
    <w:rsid w:val="00876E82"/>
    <w:rsid w:val="00877982"/>
    <w:rsid w:val="008803AA"/>
    <w:rsid w:val="008805A6"/>
    <w:rsid w:val="0088130A"/>
    <w:rsid w:val="00883402"/>
    <w:rsid w:val="0088503A"/>
    <w:rsid w:val="00885076"/>
    <w:rsid w:val="008935DA"/>
    <w:rsid w:val="008A0171"/>
    <w:rsid w:val="008A098B"/>
    <w:rsid w:val="008A2601"/>
    <w:rsid w:val="008A2C46"/>
    <w:rsid w:val="008A4765"/>
    <w:rsid w:val="008B0B49"/>
    <w:rsid w:val="008B536A"/>
    <w:rsid w:val="008B7167"/>
    <w:rsid w:val="008C0C1F"/>
    <w:rsid w:val="008C0FA2"/>
    <w:rsid w:val="008C1B45"/>
    <w:rsid w:val="008C207A"/>
    <w:rsid w:val="008C2AC9"/>
    <w:rsid w:val="008D0C10"/>
    <w:rsid w:val="008D0EF8"/>
    <w:rsid w:val="008E076A"/>
    <w:rsid w:val="008F3757"/>
    <w:rsid w:val="008F5462"/>
    <w:rsid w:val="008F76E0"/>
    <w:rsid w:val="00900BA6"/>
    <w:rsid w:val="00900D48"/>
    <w:rsid w:val="009040E9"/>
    <w:rsid w:val="009058AA"/>
    <w:rsid w:val="009061FB"/>
    <w:rsid w:val="009109E5"/>
    <w:rsid w:val="0091716C"/>
    <w:rsid w:val="00923986"/>
    <w:rsid w:val="0092514B"/>
    <w:rsid w:val="0092596C"/>
    <w:rsid w:val="00926066"/>
    <w:rsid w:val="00927AB3"/>
    <w:rsid w:val="009332DB"/>
    <w:rsid w:val="009439BD"/>
    <w:rsid w:val="00945B4B"/>
    <w:rsid w:val="00946D5A"/>
    <w:rsid w:val="00951454"/>
    <w:rsid w:val="00951578"/>
    <w:rsid w:val="00952852"/>
    <w:rsid w:val="00952B96"/>
    <w:rsid w:val="00952CEE"/>
    <w:rsid w:val="009536A5"/>
    <w:rsid w:val="009556DF"/>
    <w:rsid w:val="00960A28"/>
    <w:rsid w:val="00963344"/>
    <w:rsid w:val="00965C22"/>
    <w:rsid w:val="009660BB"/>
    <w:rsid w:val="00967B19"/>
    <w:rsid w:val="009769E1"/>
    <w:rsid w:val="0098088D"/>
    <w:rsid w:val="00980E25"/>
    <w:rsid w:val="00983FD6"/>
    <w:rsid w:val="00984C90"/>
    <w:rsid w:val="00985CC0"/>
    <w:rsid w:val="009913CA"/>
    <w:rsid w:val="009924A5"/>
    <w:rsid w:val="0099516C"/>
    <w:rsid w:val="00995B23"/>
    <w:rsid w:val="00996E56"/>
    <w:rsid w:val="0099775F"/>
    <w:rsid w:val="009A0CEA"/>
    <w:rsid w:val="009A0F74"/>
    <w:rsid w:val="009A2A54"/>
    <w:rsid w:val="009A58DF"/>
    <w:rsid w:val="009A615C"/>
    <w:rsid w:val="009A6AFD"/>
    <w:rsid w:val="009A73FE"/>
    <w:rsid w:val="009B3671"/>
    <w:rsid w:val="009B42FC"/>
    <w:rsid w:val="009B475A"/>
    <w:rsid w:val="009B65B1"/>
    <w:rsid w:val="009D08DD"/>
    <w:rsid w:val="009D3578"/>
    <w:rsid w:val="009D395B"/>
    <w:rsid w:val="009D5ED4"/>
    <w:rsid w:val="009D73B6"/>
    <w:rsid w:val="009E09A3"/>
    <w:rsid w:val="009E5D3F"/>
    <w:rsid w:val="009E617A"/>
    <w:rsid w:val="009E6DB2"/>
    <w:rsid w:val="009E757F"/>
    <w:rsid w:val="009F04DF"/>
    <w:rsid w:val="009F0E58"/>
    <w:rsid w:val="009F1602"/>
    <w:rsid w:val="009F5B20"/>
    <w:rsid w:val="009F79A0"/>
    <w:rsid w:val="009F7C79"/>
    <w:rsid w:val="00A0168D"/>
    <w:rsid w:val="00A04D09"/>
    <w:rsid w:val="00A0540D"/>
    <w:rsid w:val="00A10E9E"/>
    <w:rsid w:val="00A120AD"/>
    <w:rsid w:val="00A1541B"/>
    <w:rsid w:val="00A17591"/>
    <w:rsid w:val="00A23881"/>
    <w:rsid w:val="00A24154"/>
    <w:rsid w:val="00A241E6"/>
    <w:rsid w:val="00A267B9"/>
    <w:rsid w:val="00A30FB7"/>
    <w:rsid w:val="00A32E34"/>
    <w:rsid w:val="00A35434"/>
    <w:rsid w:val="00A42431"/>
    <w:rsid w:val="00A429C9"/>
    <w:rsid w:val="00A42F26"/>
    <w:rsid w:val="00A45EFC"/>
    <w:rsid w:val="00A47003"/>
    <w:rsid w:val="00A47569"/>
    <w:rsid w:val="00A4778B"/>
    <w:rsid w:val="00A53F9D"/>
    <w:rsid w:val="00A60740"/>
    <w:rsid w:val="00A60911"/>
    <w:rsid w:val="00A61937"/>
    <w:rsid w:val="00A65DD0"/>
    <w:rsid w:val="00A67F6F"/>
    <w:rsid w:val="00A7258D"/>
    <w:rsid w:val="00A75B75"/>
    <w:rsid w:val="00A76156"/>
    <w:rsid w:val="00A77E41"/>
    <w:rsid w:val="00A80469"/>
    <w:rsid w:val="00A822F1"/>
    <w:rsid w:val="00A82CE0"/>
    <w:rsid w:val="00A9301E"/>
    <w:rsid w:val="00A95D78"/>
    <w:rsid w:val="00A96B2C"/>
    <w:rsid w:val="00A9750B"/>
    <w:rsid w:val="00AA0147"/>
    <w:rsid w:val="00AA1212"/>
    <w:rsid w:val="00AA3BE4"/>
    <w:rsid w:val="00AA3FF2"/>
    <w:rsid w:val="00AA44B6"/>
    <w:rsid w:val="00AA6B5A"/>
    <w:rsid w:val="00AA6C06"/>
    <w:rsid w:val="00AA783A"/>
    <w:rsid w:val="00AB0AC8"/>
    <w:rsid w:val="00AB0EA7"/>
    <w:rsid w:val="00AB116C"/>
    <w:rsid w:val="00AB7705"/>
    <w:rsid w:val="00AC0A17"/>
    <w:rsid w:val="00AC11AA"/>
    <w:rsid w:val="00AC4F00"/>
    <w:rsid w:val="00AC6495"/>
    <w:rsid w:val="00AD0EB5"/>
    <w:rsid w:val="00AD10D3"/>
    <w:rsid w:val="00AE22BB"/>
    <w:rsid w:val="00AE5D72"/>
    <w:rsid w:val="00AE603D"/>
    <w:rsid w:val="00AF3B9B"/>
    <w:rsid w:val="00AF59D4"/>
    <w:rsid w:val="00AF63A4"/>
    <w:rsid w:val="00AF7580"/>
    <w:rsid w:val="00B00863"/>
    <w:rsid w:val="00B00E0A"/>
    <w:rsid w:val="00B047AA"/>
    <w:rsid w:val="00B04D6E"/>
    <w:rsid w:val="00B0687E"/>
    <w:rsid w:val="00B0782A"/>
    <w:rsid w:val="00B10404"/>
    <w:rsid w:val="00B12AFE"/>
    <w:rsid w:val="00B1390F"/>
    <w:rsid w:val="00B20060"/>
    <w:rsid w:val="00B23332"/>
    <w:rsid w:val="00B25B59"/>
    <w:rsid w:val="00B26C2D"/>
    <w:rsid w:val="00B37B68"/>
    <w:rsid w:val="00B40BEC"/>
    <w:rsid w:val="00B430EA"/>
    <w:rsid w:val="00B442DB"/>
    <w:rsid w:val="00B512CD"/>
    <w:rsid w:val="00B539D6"/>
    <w:rsid w:val="00B53C28"/>
    <w:rsid w:val="00B55817"/>
    <w:rsid w:val="00B56406"/>
    <w:rsid w:val="00B56771"/>
    <w:rsid w:val="00B57635"/>
    <w:rsid w:val="00B60008"/>
    <w:rsid w:val="00B62227"/>
    <w:rsid w:val="00B62E84"/>
    <w:rsid w:val="00B64F21"/>
    <w:rsid w:val="00B65020"/>
    <w:rsid w:val="00B65E0E"/>
    <w:rsid w:val="00B668E4"/>
    <w:rsid w:val="00B67D5C"/>
    <w:rsid w:val="00B73B5B"/>
    <w:rsid w:val="00B81A10"/>
    <w:rsid w:val="00B827F0"/>
    <w:rsid w:val="00B83A2B"/>
    <w:rsid w:val="00B859A2"/>
    <w:rsid w:val="00B90248"/>
    <w:rsid w:val="00B92A86"/>
    <w:rsid w:val="00B933D8"/>
    <w:rsid w:val="00B957B9"/>
    <w:rsid w:val="00B97E6F"/>
    <w:rsid w:val="00BA0070"/>
    <w:rsid w:val="00BA2F3F"/>
    <w:rsid w:val="00BA5376"/>
    <w:rsid w:val="00BA6662"/>
    <w:rsid w:val="00BB0AB0"/>
    <w:rsid w:val="00BB25CC"/>
    <w:rsid w:val="00BB37DE"/>
    <w:rsid w:val="00BC4625"/>
    <w:rsid w:val="00BC5198"/>
    <w:rsid w:val="00BC6810"/>
    <w:rsid w:val="00BC7177"/>
    <w:rsid w:val="00BC74C9"/>
    <w:rsid w:val="00BD22A9"/>
    <w:rsid w:val="00BD382D"/>
    <w:rsid w:val="00BD440C"/>
    <w:rsid w:val="00BD5DC3"/>
    <w:rsid w:val="00BD5F5A"/>
    <w:rsid w:val="00BE078A"/>
    <w:rsid w:val="00BE5018"/>
    <w:rsid w:val="00BF5CF0"/>
    <w:rsid w:val="00C004BA"/>
    <w:rsid w:val="00C00788"/>
    <w:rsid w:val="00C015B1"/>
    <w:rsid w:val="00C1052E"/>
    <w:rsid w:val="00C13156"/>
    <w:rsid w:val="00C1433C"/>
    <w:rsid w:val="00C144B7"/>
    <w:rsid w:val="00C22C1F"/>
    <w:rsid w:val="00C2769C"/>
    <w:rsid w:val="00C3155A"/>
    <w:rsid w:val="00C32DB7"/>
    <w:rsid w:val="00C343D0"/>
    <w:rsid w:val="00C417AC"/>
    <w:rsid w:val="00C41D86"/>
    <w:rsid w:val="00C4389F"/>
    <w:rsid w:val="00C5095E"/>
    <w:rsid w:val="00C50E48"/>
    <w:rsid w:val="00C520E2"/>
    <w:rsid w:val="00C5275A"/>
    <w:rsid w:val="00C54834"/>
    <w:rsid w:val="00C565B5"/>
    <w:rsid w:val="00C6349C"/>
    <w:rsid w:val="00C74ABF"/>
    <w:rsid w:val="00C7631D"/>
    <w:rsid w:val="00C82BC7"/>
    <w:rsid w:val="00C858E7"/>
    <w:rsid w:val="00C86232"/>
    <w:rsid w:val="00C90A71"/>
    <w:rsid w:val="00C91004"/>
    <w:rsid w:val="00C923EA"/>
    <w:rsid w:val="00C93530"/>
    <w:rsid w:val="00C96D76"/>
    <w:rsid w:val="00CA022E"/>
    <w:rsid w:val="00CA16C2"/>
    <w:rsid w:val="00CA1E2F"/>
    <w:rsid w:val="00CA4DF0"/>
    <w:rsid w:val="00CA648D"/>
    <w:rsid w:val="00CA69C8"/>
    <w:rsid w:val="00CA73B2"/>
    <w:rsid w:val="00CB2177"/>
    <w:rsid w:val="00CB4DCE"/>
    <w:rsid w:val="00CB6EB7"/>
    <w:rsid w:val="00CB739A"/>
    <w:rsid w:val="00CC0335"/>
    <w:rsid w:val="00CC2175"/>
    <w:rsid w:val="00CC24BF"/>
    <w:rsid w:val="00CD1BF0"/>
    <w:rsid w:val="00CD5928"/>
    <w:rsid w:val="00CE223D"/>
    <w:rsid w:val="00CE3D1A"/>
    <w:rsid w:val="00CE557E"/>
    <w:rsid w:val="00CE5D5E"/>
    <w:rsid w:val="00CF5239"/>
    <w:rsid w:val="00CF744E"/>
    <w:rsid w:val="00CF7EC1"/>
    <w:rsid w:val="00D02060"/>
    <w:rsid w:val="00D029E6"/>
    <w:rsid w:val="00D04657"/>
    <w:rsid w:val="00D06206"/>
    <w:rsid w:val="00D0661A"/>
    <w:rsid w:val="00D067AA"/>
    <w:rsid w:val="00D1040D"/>
    <w:rsid w:val="00D1255D"/>
    <w:rsid w:val="00D14C9B"/>
    <w:rsid w:val="00D2041F"/>
    <w:rsid w:val="00D2067A"/>
    <w:rsid w:val="00D26595"/>
    <w:rsid w:val="00D31F47"/>
    <w:rsid w:val="00D336F0"/>
    <w:rsid w:val="00D34773"/>
    <w:rsid w:val="00D34FFE"/>
    <w:rsid w:val="00D350B3"/>
    <w:rsid w:val="00D35B41"/>
    <w:rsid w:val="00D36FBF"/>
    <w:rsid w:val="00D37608"/>
    <w:rsid w:val="00D440C1"/>
    <w:rsid w:val="00D44D1F"/>
    <w:rsid w:val="00D47009"/>
    <w:rsid w:val="00D47AB0"/>
    <w:rsid w:val="00D52639"/>
    <w:rsid w:val="00D558E2"/>
    <w:rsid w:val="00D573AC"/>
    <w:rsid w:val="00D61945"/>
    <w:rsid w:val="00D6604D"/>
    <w:rsid w:val="00D67CF2"/>
    <w:rsid w:val="00D766AB"/>
    <w:rsid w:val="00D80206"/>
    <w:rsid w:val="00D84F29"/>
    <w:rsid w:val="00D859F5"/>
    <w:rsid w:val="00D86CC1"/>
    <w:rsid w:val="00D87BC9"/>
    <w:rsid w:val="00DA1AB1"/>
    <w:rsid w:val="00DA3EB4"/>
    <w:rsid w:val="00DA5F5C"/>
    <w:rsid w:val="00DA6BED"/>
    <w:rsid w:val="00DA7AF8"/>
    <w:rsid w:val="00DB3EE0"/>
    <w:rsid w:val="00DB4013"/>
    <w:rsid w:val="00DB4F41"/>
    <w:rsid w:val="00DC2CD7"/>
    <w:rsid w:val="00DC38D9"/>
    <w:rsid w:val="00DC6204"/>
    <w:rsid w:val="00DC75AB"/>
    <w:rsid w:val="00DD323A"/>
    <w:rsid w:val="00DD51F8"/>
    <w:rsid w:val="00DD729A"/>
    <w:rsid w:val="00DE1ADE"/>
    <w:rsid w:val="00DE3AE3"/>
    <w:rsid w:val="00DE7190"/>
    <w:rsid w:val="00DF09E7"/>
    <w:rsid w:val="00DF34FC"/>
    <w:rsid w:val="00DF4A9F"/>
    <w:rsid w:val="00DF50EE"/>
    <w:rsid w:val="00DF535F"/>
    <w:rsid w:val="00DF5486"/>
    <w:rsid w:val="00DF5603"/>
    <w:rsid w:val="00DF6DFB"/>
    <w:rsid w:val="00E03B2D"/>
    <w:rsid w:val="00E05539"/>
    <w:rsid w:val="00E05CB3"/>
    <w:rsid w:val="00E06360"/>
    <w:rsid w:val="00E06461"/>
    <w:rsid w:val="00E121F9"/>
    <w:rsid w:val="00E1269F"/>
    <w:rsid w:val="00E13107"/>
    <w:rsid w:val="00E14BD7"/>
    <w:rsid w:val="00E168BF"/>
    <w:rsid w:val="00E17DF9"/>
    <w:rsid w:val="00E200BA"/>
    <w:rsid w:val="00E2772D"/>
    <w:rsid w:val="00E27889"/>
    <w:rsid w:val="00E30A54"/>
    <w:rsid w:val="00E312ED"/>
    <w:rsid w:val="00E3145F"/>
    <w:rsid w:val="00E31B06"/>
    <w:rsid w:val="00E32266"/>
    <w:rsid w:val="00E34C1C"/>
    <w:rsid w:val="00E42EFF"/>
    <w:rsid w:val="00E459C6"/>
    <w:rsid w:val="00E55725"/>
    <w:rsid w:val="00E5620E"/>
    <w:rsid w:val="00E605D1"/>
    <w:rsid w:val="00E61A61"/>
    <w:rsid w:val="00E72DE7"/>
    <w:rsid w:val="00E73EF8"/>
    <w:rsid w:val="00E75AF5"/>
    <w:rsid w:val="00E7738B"/>
    <w:rsid w:val="00E82519"/>
    <w:rsid w:val="00E93C62"/>
    <w:rsid w:val="00E95D96"/>
    <w:rsid w:val="00E97C96"/>
    <w:rsid w:val="00EA0753"/>
    <w:rsid w:val="00EA1A49"/>
    <w:rsid w:val="00EA1E9E"/>
    <w:rsid w:val="00EA3A93"/>
    <w:rsid w:val="00EA4753"/>
    <w:rsid w:val="00EA5EDA"/>
    <w:rsid w:val="00EB0F38"/>
    <w:rsid w:val="00EB1B6B"/>
    <w:rsid w:val="00EB35F2"/>
    <w:rsid w:val="00EB5060"/>
    <w:rsid w:val="00EB638A"/>
    <w:rsid w:val="00EC1B04"/>
    <w:rsid w:val="00EC3A13"/>
    <w:rsid w:val="00ED28EB"/>
    <w:rsid w:val="00ED3009"/>
    <w:rsid w:val="00ED3AF4"/>
    <w:rsid w:val="00ED5ADC"/>
    <w:rsid w:val="00ED6F6D"/>
    <w:rsid w:val="00EE06E8"/>
    <w:rsid w:val="00EE19E0"/>
    <w:rsid w:val="00EE2767"/>
    <w:rsid w:val="00EE3DE8"/>
    <w:rsid w:val="00EE4C64"/>
    <w:rsid w:val="00EE58B8"/>
    <w:rsid w:val="00EE745B"/>
    <w:rsid w:val="00EF04B3"/>
    <w:rsid w:val="00EF76C9"/>
    <w:rsid w:val="00F0134D"/>
    <w:rsid w:val="00F07B78"/>
    <w:rsid w:val="00F104A1"/>
    <w:rsid w:val="00F11268"/>
    <w:rsid w:val="00F1137F"/>
    <w:rsid w:val="00F12AC4"/>
    <w:rsid w:val="00F1585A"/>
    <w:rsid w:val="00F15B89"/>
    <w:rsid w:val="00F23798"/>
    <w:rsid w:val="00F2629B"/>
    <w:rsid w:val="00F26AE6"/>
    <w:rsid w:val="00F30EC8"/>
    <w:rsid w:val="00F36844"/>
    <w:rsid w:val="00F40875"/>
    <w:rsid w:val="00F42C30"/>
    <w:rsid w:val="00F432E8"/>
    <w:rsid w:val="00F44087"/>
    <w:rsid w:val="00F448BD"/>
    <w:rsid w:val="00F45755"/>
    <w:rsid w:val="00F45D97"/>
    <w:rsid w:val="00F514EF"/>
    <w:rsid w:val="00F51952"/>
    <w:rsid w:val="00F554CA"/>
    <w:rsid w:val="00F560CF"/>
    <w:rsid w:val="00F57041"/>
    <w:rsid w:val="00F607B2"/>
    <w:rsid w:val="00F640FB"/>
    <w:rsid w:val="00F65429"/>
    <w:rsid w:val="00F71E1C"/>
    <w:rsid w:val="00F77534"/>
    <w:rsid w:val="00F7760F"/>
    <w:rsid w:val="00F7788A"/>
    <w:rsid w:val="00F80446"/>
    <w:rsid w:val="00F80B60"/>
    <w:rsid w:val="00F80FC5"/>
    <w:rsid w:val="00F84625"/>
    <w:rsid w:val="00F8651C"/>
    <w:rsid w:val="00F86585"/>
    <w:rsid w:val="00F879A0"/>
    <w:rsid w:val="00F909F4"/>
    <w:rsid w:val="00F90D67"/>
    <w:rsid w:val="00F911B7"/>
    <w:rsid w:val="00FA491E"/>
    <w:rsid w:val="00FB0290"/>
    <w:rsid w:val="00FB5718"/>
    <w:rsid w:val="00FC0936"/>
    <w:rsid w:val="00FC5A0F"/>
    <w:rsid w:val="00FC64F8"/>
    <w:rsid w:val="00FF3377"/>
    <w:rsid w:val="00FF4B90"/>
    <w:rsid w:val="00FF5742"/>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726F43"/>
  <w15:docId w15:val="{922BEFFF-9F10-423C-926D-7BEA575A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36F0"/>
    <w:pPr>
      <w:ind w:left="720"/>
      <w:contextualSpacing/>
    </w:pPr>
  </w:style>
  <w:style w:type="paragraph" w:styleId="Textonotapie">
    <w:name w:val="footnote text"/>
    <w:basedOn w:val="Normal"/>
    <w:link w:val="TextonotapieCar"/>
    <w:uiPriority w:val="99"/>
    <w:semiHidden/>
    <w:unhideWhenUsed/>
    <w:rsid w:val="002D3246"/>
    <w:pPr>
      <w:spacing w:line="240" w:lineRule="auto"/>
    </w:pPr>
    <w:rPr>
      <w:sz w:val="20"/>
      <w:szCs w:val="20"/>
    </w:rPr>
  </w:style>
  <w:style w:type="character" w:customStyle="1" w:styleId="TextonotapieCar">
    <w:name w:val="Texto nota pie Car"/>
    <w:basedOn w:val="Fuentedeprrafopredeter"/>
    <w:link w:val="Textonotapie"/>
    <w:uiPriority w:val="99"/>
    <w:semiHidden/>
    <w:rsid w:val="002D3246"/>
    <w:rPr>
      <w:rFonts w:ascii="Times New Roman" w:hAnsi="Times New Roman"/>
      <w:sz w:val="20"/>
      <w:szCs w:val="20"/>
    </w:rPr>
  </w:style>
  <w:style w:type="character" w:styleId="Refdenotaalpie">
    <w:name w:val="footnote reference"/>
    <w:basedOn w:val="Fuentedeprrafopredeter"/>
    <w:semiHidden/>
    <w:rsid w:val="002D3246"/>
    <w:rPr>
      <w:vertAlign w:val="superscript"/>
    </w:rPr>
  </w:style>
  <w:style w:type="paragraph" w:customStyle="1" w:styleId="Default">
    <w:name w:val="Default"/>
    <w:rsid w:val="00AC6495"/>
    <w:pPr>
      <w:autoSpaceDE w:val="0"/>
      <w:autoSpaceDN w:val="0"/>
      <w:adjustRightInd w:val="0"/>
      <w:spacing w:after="0" w:line="240" w:lineRule="auto"/>
    </w:pPr>
    <w:rPr>
      <w:rFonts w:ascii="Times New Roman" w:hAnsi="Times New Roman" w:cs="Times New Roman"/>
      <w:color w:val="000000"/>
      <w:sz w:val="24"/>
      <w:szCs w:val="24"/>
      <w:lang w:val="es-CR"/>
    </w:rPr>
  </w:style>
  <w:style w:type="character" w:styleId="Refdecomentario">
    <w:name w:val="annotation reference"/>
    <w:basedOn w:val="Fuentedeprrafopredeter"/>
    <w:uiPriority w:val="99"/>
    <w:semiHidden/>
    <w:unhideWhenUsed/>
    <w:rsid w:val="00E34C1C"/>
    <w:rPr>
      <w:sz w:val="16"/>
      <w:szCs w:val="16"/>
    </w:rPr>
  </w:style>
  <w:style w:type="paragraph" w:styleId="Textocomentario">
    <w:name w:val="annotation text"/>
    <w:basedOn w:val="Normal"/>
    <w:link w:val="TextocomentarioCar"/>
    <w:uiPriority w:val="99"/>
    <w:semiHidden/>
    <w:unhideWhenUsed/>
    <w:rsid w:val="00E34C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4C1C"/>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4C1C"/>
    <w:rPr>
      <w:b/>
      <w:bCs/>
    </w:rPr>
  </w:style>
  <w:style w:type="character" w:customStyle="1" w:styleId="AsuntodelcomentarioCar">
    <w:name w:val="Asunto del comentario Car"/>
    <w:basedOn w:val="TextocomentarioCar"/>
    <w:link w:val="Asuntodelcomentario"/>
    <w:uiPriority w:val="99"/>
    <w:semiHidden/>
    <w:rsid w:val="00E34C1C"/>
    <w:rPr>
      <w:rFonts w:ascii="Times New Roman" w:hAnsi="Times New Roman"/>
      <w:b/>
      <w:bCs/>
      <w:sz w:val="20"/>
      <w:szCs w:val="20"/>
    </w:rPr>
  </w:style>
  <w:style w:type="paragraph" w:styleId="Revisin">
    <w:name w:val="Revision"/>
    <w:hidden/>
    <w:uiPriority w:val="99"/>
    <w:semiHidden/>
    <w:rsid w:val="00B1390F"/>
    <w:pPr>
      <w:spacing w:after="0" w:line="240" w:lineRule="auto"/>
    </w:pPr>
    <w:rPr>
      <w:rFonts w:ascii="Times New Roman" w:hAnsi="Times New Roman"/>
      <w:sz w:val="24"/>
    </w:rPr>
  </w:style>
  <w:style w:type="paragraph" w:styleId="NormalWeb">
    <w:name w:val="Normal (Web)"/>
    <w:basedOn w:val="Normal"/>
    <w:uiPriority w:val="99"/>
    <w:semiHidden/>
    <w:unhideWhenUsed/>
    <w:rsid w:val="0007284D"/>
    <w:pPr>
      <w:spacing w:before="100" w:beforeAutospacing="1" w:after="100" w:afterAutospacing="1" w:line="240" w:lineRule="auto"/>
    </w:pPr>
    <w:rPr>
      <w:rFonts w:eastAsia="Times New Roman" w:cs="Times New Roman"/>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145898334">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8E064E" w:rsidRDefault="008E064E">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4E"/>
    <w:rsid w:val="000164FC"/>
    <w:rsid w:val="000E452A"/>
    <w:rsid w:val="00163415"/>
    <w:rsid w:val="002E7559"/>
    <w:rsid w:val="00352F2D"/>
    <w:rsid w:val="003878CA"/>
    <w:rsid w:val="007C1C89"/>
    <w:rsid w:val="0084656E"/>
    <w:rsid w:val="008E064E"/>
    <w:rsid w:val="008F4E6E"/>
    <w:rsid w:val="00A2222C"/>
    <w:rsid w:val="00AC3658"/>
    <w:rsid w:val="00C171BD"/>
    <w:rsid w:val="00D920DF"/>
    <w:rsid w:val="00E672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https://si.supen.fi.cr/Tramites/Tram_Detalle_Evento.aspx?evento=2022079125&amp;op=3</Url>
      <Description>2022079125</Description>
    </Evento>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2.xml><?xml version="1.0" encoding="utf-8"?>
<ds:datastoreItem xmlns:ds="http://schemas.openxmlformats.org/officeDocument/2006/customXml" ds:itemID="{6C681F65-DED8-4FC0-B131-44529ABF3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451BD-6067-48EB-80C7-A07A167F2540}">
  <ds:schemaRefs>
    <ds:schemaRef ds:uri="6c2d2cf2-004b-47d1-b91d-f9a62dc21bae"/>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0F81941-D782-4B8C-BA9A-D477A7844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1</TotalTime>
  <Pages>4</Pages>
  <Words>1303</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2022SPA255.docx</vt:lpstr>
    </vt:vector>
  </TitlesOfParts>
  <Company/>
  <LinksUpToDate>false</LinksUpToDate>
  <CharactersWithSpaces>8457</CharactersWithSpaces>
  <SharedDoc>false</SharedDoc>
  <HLinks>
    <vt:vector size="12" baseType="variant">
      <vt:variant>
        <vt:i4>5767214</vt:i4>
      </vt:variant>
      <vt:variant>
        <vt:i4>9</vt:i4>
      </vt:variant>
      <vt:variant>
        <vt:i4>0</vt:i4>
      </vt:variant>
      <vt:variant>
        <vt:i4>5</vt:i4>
      </vt:variant>
      <vt:variant>
        <vt:lpwstr>mailto:supen@supen.fi.cr</vt:lpwstr>
      </vt:variant>
      <vt:variant>
        <vt:lpwstr/>
      </vt: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2022SPA257.docx</dc:title>
  <dc:subject/>
  <dc:creator>ROJAS VALVERDE DIEGO ANTONIO</dc:creator>
  <cp:keywords/>
  <dc:description/>
  <cp:lastModifiedBy>RODRIGUEZ BOVIERI GIANFRANCO</cp:lastModifiedBy>
  <cp:revision>2</cp:revision>
  <cp:lastPrinted>2016-11-07T20:19:00Z</cp:lastPrinted>
  <dcterms:created xsi:type="dcterms:W3CDTF">2022-11-26T00:53:00Z</dcterms:created>
  <dcterms:modified xsi:type="dcterms:W3CDTF">2022-11-26T00:53:00Z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ediaServiceImageTags">
    <vt:lpwstr/>
  </property>
</Properties>
</file>